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lang w:val="en-GB"/>
        </w:rPr>
        <w:id w:val="-1136174000"/>
        <w:docPartObj>
          <w:docPartGallery w:val="Cover Pages"/>
          <w:docPartUnique/>
        </w:docPartObj>
      </w:sdtPr>
      <w:sdtEndPr>
        <w:rPr>
          <w:sz w:val="21"/>
        </w:rPr>
      </w:sdtEndPr>
      <w:sdtContent>
        <w:p w:rsidR="00423BB3" w:rsidRPr="0075608E" w:rsidRDefault="00BF7A77" w:rsidP="002116C6">
          <w:pPr>
            <w:widowControl/>
            <w:jc w:val="left"/>
            <w:rPr>
              <w:noProof/>
              <w:lang w:val="en-GB"/>
            </w:rPr>
          </w:pPr>
          <w:r w:rsidRPr="0075608E">
            <w:rPr>
              <w:rFonts w:ascii="Calibri" w:hAnsi="Calibri"/>
              <w:noProof/>
              <w:lang w:val="en-GB"/>
            </w:rPr>
            <w:drawing>
              <wp:anchor distT="0" distB="0" distL="114300" distR="114300" simplePos="0" relativeHeight="251660288" behindDoc="1" locked="0" layoutInCell="1" allowOverlap="1" wp14:anchorId="76819D64" wp14:editId="657FF8A4">
                <wp:simplePos x="0" y="0"/>
                <wp:positionH relativeFrom="column">
                  <wp:posOffset>10160</wp:posOffset>
                </wp:positionH>
                <wp:positionV relativeFrom="paragraph">
                  <wp:posOffset>83820</wp:posOffset>
                </wp:positionV>
                <wp:extent cx="507365" cy="47053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365" cy="470535"/>
                        </a:xfrm>
                        <a:prstGeom prst="rect">
                          <a:avLst/>
                        </a:prstGeom>
                        <a:noFill/>
                      </pic:spPr>
                    </pic:pic>
                  </a:graphicData>
                </a:graphic>
                <wp14:sizeRelH relativeFrom="page">
                  <wp14:pctWidth>0</wp14:pctWidth>
                </wp14:sizeRelH>
                <wp14:sizeRelV relativeFrom="page">
                  <wp14:pctHeight>0</wp14:pctHeight>
                </wp14:sizeRelV>
              </wp:anchor>
            </w:drawing>
          </w:r>
          <w:r w:rsidRPr="0075608E">
            <w:rPr>
              <w:noProof/>
              <w:lang w:val="en-GB"/>
            </w:rPr>
            <w:drawing>
              <wp:anchor distT="0" distB="0" distL="114300" distR="114300" simplePos="0" relativeHeight="251659264" behindDoc="1" locked="0" layoutInCell="1" allowOverlap="1" wp14:anchorId="79729A65" wp14:editId="3C9A0755">
                <wp:simplePos x="0" y="0"/>
                <wp:positionH relativeFrom="column">
                  <wp:posOffset>-571500</wp:posOffset>
                </wp:positionH>
                <wp:positionV relativeFrom="paragraph">
                  <wp:posOffset>96356</wp:posOffset>
                </wp:positionV>
                <wp:extent cx="6555105" cy="817753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5105" cy="8177530"/>
                        </a:xfrm>
                        <a:prstGeom prst="rect">
                          <a:avLst/>
                        </a:prstGeom>
                        <a:noFill/>
                      </pic:spPr>
                    </pic:pic>
                  </a:graphicData>
                </a:graphic>
                <wp14:sizeRelH relativeFrom="page">
                  <wp14:pctWidth>0</wp14:pctWidth>
                </wp14:sizeRelH>
                <wp14:sizeRelV relativeFrom="page">
                  <wp14:pctHeight>0</wp14:pctHeight>
                </wp14:sizeRelV>
              </wp:anchor>
            </w:drawing>
          </w:r>
          <w:r w:rsidR="003C47DD" w:rsidRPr="0075608E">
            <w:rPr>
              <w:rFonts w:ascii="Calibri" w:hAnsi="Calibri"/>
              <w:noProof/>
              <w:lang w:val="en-GB"/>
            </w:rPr>
            <w:pict>
              <v:shapetype id="_x0000_t202" coordsize="21600,21600" o:spt="202" path="m,l,21600r21600,l21600,xe">
                <v:stroke joinstyle="miter"/>
                <v:path gradientshapeok="t" o:connecttype="rect"/>
              </v:shapetype>
              <v:shape id="_x0000_s1026" type="#_x0000_t202" style="position:absolute;margin-left:49.3pt;margin-top:2.9pt;width:396.95pt;height:82.9pt;z-index:-25165516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1zcIA&#10;AADaAAAADwAAAGRycy9kb3ducmV2LnhtbESPQWvCQBSE7wX/w/IEL6VuEjD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LXNwgAAANoAAAAPAAAAAAAAAAAAAAAAAJgCAABkcnMvZG93&#10;bnJldi54bWxQSwUGAAAAAAQABAD1AAAAhwMAAAAA&#10;" filled="f" stroked="f">
                <v:textbox style="mso-next-textbox:#_x0000_s1026;mso-fit-shape-to-text:t" inset="0,0,0,0">
                  <w:txbxContent>
                    <w:p w:rsidR="00BF7A77" w:rsidRPr="00427A42" w:rsidRDefault="00BF7A77" w:rsidP="00C85D94">
                      <w:pPr>
                        <w:spacing w:line="829" w:lineRule="exact"/>
                        <w:ind w:right="-20"/>
                        <w:rPr>
                          <w:rFonts w:ascii="Impact" w:hAnsi="Impact" w:cs="Impact"/>
                          <w:color w:val="000000"/>
                          <w:spacing w:val="-18"/>
                          <w:w w:val="82"/>
                          <w:sz w:val="56"/>
                          <w:szCs w:val="56"/>
                        </w:rPr>
                      </w:pPr>
                      <w:r w:rsidRPr="00767F57">
                        <w:rPr>
                          <w:rFonts w:ascii="Impact" w:hAnsi="Impact" w:cs="Impact"/>
                          <w:color w:val="000000"/>
                          <w:spacing w:val="-18"/>
                          <w:w w:val="82"/>
                          <w:sz w:val="56"/>
                          <w:szCs w:val="56"/>
                        </w:rPr>
                        <w:t>Chapters (Pr</w:t>
                      </w:r>
                      <w:r>
                        <w:rPr>
                          <w:rFonts w:ascii="Impact" w:hAnsi="Impact" w:cs="Impact"/>
                          <w:color w:val="000000"/>
                          <w:spacing w:val="-18"/>
                          <w:w w:val="82"/>
                          <w:sz w:val="56"/>
                          <w:szCs w:val="56"/>
                        </w:rPr>
                        <w:t>ice update, market dynamics)</w:t>
                      </w:r>
                      <w:r w:rsidRPr="00427A42">
                        <w:rPr>
                          <w:rFonts w:ascii="Impact" w:hAnsi="Impact" w:cs="Impact"/>
                          <w:color w:val="000000"/>
                          <w:spacing w:val="-18"/>
                          <w:w w:val="82"/>
                          <w:sz w:val="56"/>
                          <w:szCs w:val="56"/>
                        </w:rPr>
                        <w:t xml:space="preserve"> </w:t>
                      </w:r>
                      <w:r>
                        <w:rPr>
                          <w:rFonts w:ascii="Impact" w:hAnsi="Impact" w:cs="Impact"/>
                          <w:color w:val="000000"/>
                          <w:spacing w:val="-18"/>
                          <w:w w:val="82"/>
                          <w:sz w:val="56"/>
                          <w:szCs w:val="56"/>
                        </w:rPr>
                        <w:t xml:space="preserve">of </w:t>
                      </w:r>
                      <w:r w:rsidRPr="00427A42">
                        <w:rPr>
                          <w:rFonts w:ascii="Impact" w:hAnsi="Impact" w:cs="Impact"/>
                          <w:color w:val="000000"/>
                          <w:spacing w:val="-18"/>
                          <w:w w:val="82"/>
                          <w:sz w:val="56"/>
                          <w:szCs w:val="56"/>
                        </w:rPr>
                        <w:t xml:space="preserve"> </w:t>
                      </w:r>
                    </w:p>
                    <w:p w:rsidR="00BF7A77" w:rsidRPr="00217EA2" w:rsidRDefault="00BF7A77" w:rsidP="00C85D94">
                      <w:pPr>
                        <w:spacing w:line="829" w:lineRule="exact"/>
                        <w:ind w:right="-20"/>
                        <w:rPr>
                          <w:rFonts w:ascii="Impact" w:hAnsi="Impact" w:cs="Impact"/>
                          <w:color w:val="000000"/>
                          <w:w w:val="82"/>
                          <w:sz w:val="56"/>
                          <w:szCs w:val="56"/>
                        </w:rPr>
                      </w:pPr>
                      <w:r w:rsidRPr="00767F57">
                        <w:rPr>
                          <w:rFonts w:ascii="Impact" w:hAnsi="Impact" w:cs="Impact"/>
                          <w:color w:val="000000"/>
                          <w:spacing w:val="-18"/>
                          <w:w w:val="82"/>
                          <w:sz w:val="56"/>
                          <w:szCs w:val="56"/>
                        </w:rPr>
                        <w:t>Sweetener Newsletter 202</w:t>
                      </w:r>
                      <w:r>
                        <w:rPr>
                          <w:rFonts w:ascii="Impact" w:hAnsi="Impact" w:cs="Impact"/>
                          <w:color w:val="000000"/>
                          <w:spacing w:val="-18"/>
                          <w:w w:val="82"/>
                          <w:sz w:val="56"/>
                          <w:szCs w:val="56"/>
                        </w:rPr>
                        <w:t>30</w:t>
                      </w:r>
                      <w:r w:rsidR="00521E2D">
                        <w:rPr>
                          <w:rFonts w:ascii="Impact" w:hAnsi="Impact" w:cs="Impact" w:hint="eastAsia"/>
                          <w:color w:val="000000"/>
                          <w:spacing w:val="-18"/>
                          <w:w w:val="82"/>
                          <w:sz w:val="56"/>
                          <w:szCs w:val="56"/>
                        </w:rPr>
                        <w:t>5</w:t>
                      </w:r>
                    </w:p>
                  </w:txbxContent>
                </v:textbox>
              </v:shape>
            </w:pict>
          </w:r>
          <w:r w:rsidR="003C47DD" w:rsidRPr="0075608E">
            <w:rPr>
              <w:rFonts w:ascii="Calibri" w:hAnsi="Calibri"/>
              <w:noProof/>
              <w:sz w:val="48"/>
              <w:lang w:val="en-GB"/>
            </w:rPr>
            <w:pict>
              <v:shape id="_x0000_s1028" type="#_x0000_t202" style="position:absolute;margin-left:153.65pt;margin-top:550.55pt;width:101.8pt;height:11.55pt;z-index:-25165312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next-textbox:#_x0000_s1028;mso-fit-shape-to-text:t" inset="0,0,0,0">
                  <w:txbxContent>
                    <w:p w:rsidR="00BF7A77" w:rsidRPr="009062E8" w:rsidRDefault="00BF7A77" w:rsidP="00C85D94">
                      <w:pPr>
                        <w:spacing w:line="231" w:lineRule="exact"/>
                        <w:ind w:right="-20"/>
                        <w:jc w:val="center"/>
                        <w:rPr>
                          <w:rFonts w:ascii="Arial" w:hAnsi="Arial" w:cs="Arial"/>
                          <w:color w:val="000000"/>
                          <w:spacing w:val="-7"/>
                          <w:w w:val="81"/>
                          <w:sz w:val="20"/>
                          <w:szCs w:val="20"/>
                        </w:rPr>
                      </w:pPr>
                      <w:r w:rsidRPr="009062E8">
                        <w:rPr>
                          <w:rFonts w:ascii="Arial" w:hAnsi="Arial" w:cs="Arial"/>
                          <w:color w:val="000000"/>
                          <w:spacing w:val="-1"/>
                          <w:w w:val="89"/>
                          <w:sz w:val="20"/>
                          <w:szCs w:val="20"/>
                        </w:rPr>
                        <w:t>C</w:t>
                      </w:r>
                      <w:r w:rsidRPr="009062E8">
                        <w:rPr>
                          <w:rFonts w:ascii="Arial" w:hAnsi="Arial" w:cs="Arial"/>
                          <w:color w:val="000000"/>
                          <w:spacing w:val="-6"/>
                          <w:w w:val="84"/>
                          <w:sz w:val="20"/>
                          <w:szCs w:val="20"/>
                        </w:rPr>
                        <w:t>o</w:t>
                      </w:r>
                      <w:r w:rsidRPr="009062E8">
                        <w:rPr>
                          <w:rFonts w:ascii="Arial" w:hAnsi="Arial" w:cs="Arial"/>
                          <w:color w:val="000000"/>
                          <w:spacing w:val="-6"/>
                          <w:w w:val="81"/>
                          <w:sz w:val="20"/>
                          <w:szCs w:val="20"/>
                        </w:rPr>
                        <w:t>p</w:t>
                      </w:r>
                      <w:r w:rsidRPr="009062E8">
                        <w:rPr>
                          <w:rFonts w:ascii="Arial" w:hAnsi="Arial" w:cs="Arial"/>
                          <w:color w:val="000000"/>
                          <w:spacing w:val="-16"/>
                          <w:w w:val="84"/>
                          <w:sz w:val="20"/>
                          <w:szCs w:val="20"/>
                        </w:rPr>
                        <w:t>y</w:t>
                      </w:r>
                      <w:r w:rsidRPr="009062E8">
                        <w:rPr>
                          <w:rFonts w:ascii="Arial" w:hAnsi="Arial" w:cs="Arial"/>
                          <w:color w:val="000000"/>
                          <w:spacing w:val="-10"/>
                          <w:sz w:val="20"/>
                          <w:szCs w:val="20"/>
                        </w:rPr>
                        <w:t>r</w:t>
                      </w:r>
                      <w:r w:rsidRPr="009062E8">
                        <w:rPr>
                          <w:rFonts w:ascii="Arial" w:hAnsi="Arial" w:cs="Arial"/>
                          <w:color w:val="000000"/>
                          <w:spacing w:val="-2"/>
                          <w:sz w:val="20"/>
                          <w:szCs w:val="20"/>
                        </w:rPr>
                        <w:t>i</w:t>
                      </w:r>
                      <w:r w:rsidRPr="009062E8">
                        <w:rPr>
                          <w:rFonts w:ascii="Arial" w:hAnsi="Arial" w:cs="Arial"/>
                          <w:color w:val="000000"/>
                          <w:spacing w:val="-6"/>
                          <w:w w:val="81"/>
                          <w:sz w:val="20"/>
                          <w:szCs w:val="20"/>
                        </w:rPr>
                        <w:t>g</w:t>
                      </w:r>
                      <w:r w:rsidRPr="009062E8">
                        <w:rPr>
                          <w:rFonts w:ascii="Arial" w:hAnsi="Arial" w:cs="Arial"/>
                          <w:color w:val="000000"/>
                          <w:spacing w:val="-16"/>
                          <w:w w:val="84"/>
                          <w:sz w:val="20"/>
                          <w:szCs w:val="20"/>
                        </w:rPr>
                        <w:t>h</w:t>
                      </w:r>
                      <w:r w:rsidRPr="009062E8">
                        <w:rPr>
                          <w:rFonts w:ascii="Arial" w:hAnsi="Arial" w:cs="Arial"/>
                          <w:color w:val="000000"/>
                          <w:spacing w:val="-6"/>
                          <w:sz w:val="20"/>
                          <w:szCs w:val="20"/>
                        </w:rPr>
                        <w:t>t</w:t>
                      </w:r>
                      <w:r w:rsidRPr="009062E8">
                        <w:rPr>
                          <w:rFonts w:ascii="Arial" w:hAnsi="Arial" w:cs="Arial"/>
                          <w:color w:val="000000"/>
                          <w:spacing w:val="-10"/>
                          <w:sz w:val="20"/>
                          <w:szCs w:val="20"/>
                        </w:rPr>
                        <w:t xml:space="preserve"> </w:t>
                      </w:r>
                      <w:r w:rsidRPr="009062E8">
                        <w:rPr>
                          <w:rFonts w:ascii="Arial" w:hAnsi="Arial" w:cs="Arial"/>
                          <w:color w:val="000000"/>
                          <w:w w:val="91"/>
                          <w:sz w:val="20"/>
                          <w:szCs w:val="20"/>
                        </w:rPr>
                        <w:t>©</w:t>
                      </w:r>
                      <w:r w:rsidRPr="009062E8">
                        <w:rPr>
                          <w:rFonts w:ascii="Arial" w:hAnsi="Arial" w:cs="Arial"/>
                          <w:color w:val="000000"/>
                          <w:spacing w:val="-2"/>
                          <w:sz w:val="20"/>
                          <w:szCs w:val="20"/>
                        </w:rPr>
                        <w:t xml:space="preserve"> </w:t>
                      </w:r>
                      <w:proofErr w:type="spellStart"/>
                      <w:r w:rsidRPr="009062E8">
                        <w:rPr>
                          <w:rFonts w:ascii="Arial" w:hAnsi="Arial" w:cs="Arial"/>
                          <w:color w:val="000000"/>
                          <w:spacing w:val="-4"/>
                          <w:w w:val="82"/>
                          <w:sz w:val="20"/>
                          <w:szCs w:val="20"/>
                        </w:rPr>
                        <w:t>K</w:t>
                      </w:r>
                      <w:r w:rsidRPr="009062E8">
                        <w:rPr>
                          <w:rFonts w:ascii="Arial" w:hAnsi="Arial" w:cs="Arial"/>
                          <w:color w:val="000000"/>
                          <w:spacing w:val="-7"/>
                          <w:sz w:val="20"/>
                          <w:szCs w:val="20"/>
                        </w:rPr>
                        <w:t>c</w:t>
                      </w:r>
                      <w:r w:rsidRPr="009062E8">
                        <w:rPr>
                          <w:rFonts w:ascii="Arial" w:hAnsi="Arial" w:cs="Arial"/>
                          <w:color w:val="000000"/>
                          <w:spacing w:val="-8"/>
                          <w:w w:val="84"/>
                          <w:sz w:val="20"/>
                          <w:szCs w:val="20"/>
                        </w:rPr>
                        <w:t>o</w:t>
                      </w:r>
                      <w:r w:rsidRPr="009062E8">
                        <w:rPr>
                          <w:rFonts w:ascii="Arial" w:hAnsi="Arial" w:cs="Arial"/>
                          <w:color w:val="000000"/>
                          <w:spacing w:val="-10"/>
                          <w:w w:val="86"/>
                          <w:sz w:val="20"/>
                          <w:szCs w:val="20"/>
                        </w:rPr>
                        <w:t>m</w:t>
                      </w:r>
                      <w:r w:rsidRPr="009062E8">
                        <w:rPr>
                          <w:rFonts w:ascii="Arial" w:hAnsi="Arial" w:cs="Arial"/>
                          <w:color w:val="000000"/>
                          <w:spacing w:val="-8"/>
                          <w:w w:val="81"/>
                          <w:sz w:val="20"/>
                          <w:szCs w:val="20"/>
                        </w:rPr>
                        <w:t>b</w:t>
                      </w:r>
                      <w:r w:rsidRPr="009062E8">
                        <w:rPr>
                          <w:rFonts w:ascii="Arial" w:hAnsi="Arial" w:cs="Arial"/>
                          <w:color w:val="000000"/>
                          <w:spacing w:val="-5"/>
                          <w:w w:val="85"/>
                          <w:sz w:val="20"/>
                          <w:szCs w:val="20"/>
                        </w:rPr>
                        <w:t>e</w:t>
                      </w:r>
                      <w:r w:rsidRPr="009062E8">
                        <w:rPr>
                          <w:rFonts w:ascii="Arial" w:hAnsi="Arial" w:cs="Arial"/>
                          <w:color w:val="000000"/>
                          <w:spacing w:val="-8"/>
                          <w:sz w:val="20"/>
                          <w:szCs w:val="20"/>
                        </w:rPr>
                        <w:t>r</w:t>
                      </w:r>
                      <w:proofErr w:type="spellEnd"/>
                      <w:r w:rsidRPr="009062E8">
                        <w:rPr>
                          <w:rFonts w:ascii="Arial" w:hAnsi="Arial" w:cs="Arial"/>
                          <w:color w:val="000000"/>
                          <w:spacing w:val="-8"/>
                          <w:sz w:val="20"/>
                          <w:szCs w:val="20"/>
                        </w:rPr>
                        <w:t xml:space="preserve"> </w:t>
                      </w:r>
                      <w:r w:rsidRPr="009062E8">
                        <w:rPr>
                          <w:rFonts w:ascii="Arial" w:hAnsi="Arial" w:cs="Arial"/>
                          <w:color w:val="000000"/>
                          <w:spacing w:val="-23"/>
                          <w:w w:val="81"/>
                          <w:sz w:val="20"/>
                          <w:szCs w:val="20"/>
                        </w:rPr>
                        <w:t>I</w:t>
                      </w:r>
                      <w:r w:rsidRPr="009062E8">
                        <w:rPr>
                          <w:rFonts w:ascii="Arial" w:hAnsi="Arial" w:cs="Arial"/>
                          <w:color w:val="000000"/>
                          <w:spacing w:val="-17"/>
                          <w:w w:val="84"/>
                          <w:sz w:val="20"/>
                          <w:szCs w:val="20"/>
                        </w:rPr>
                        <w:t>n</w:t>
                      </w:r>
                      <w:r w:rsidRPr="009062E8">
                        <w:rPr>
                          <w:rFonts w:ascii="Arial" w:hAnsi="Arial" w:cs="Arial"/>
                          <w:color w:val="000000"/>
                          <w:spacing w:val="-7"/>
                          <w:sz w:val="20"/>
                          <w:szCs w:val="20"/>
                        </w:rPr>
                        <w:t>c</w:t>
                      </w:r>
                      <w:r w:rsidRPr="009062E8">
                        <w:rPr>
                          <w:rFonts w:ascii="Arial" w:hAnsi="Arial" w:cs="Arial"/>
                          <w:color w:val="000000"/>
                          <w:spacing w:val="-7"/>
                          <w:w w:val="81"/>
                          <w:sz w:val="20"/>
                          <w:szCs w:val="20"/>
                        </w:rPr>
                        <w:t>.</w:t>
                      </w:r>
                    </w:p>
                  </w:txbxContent>
                </v:textbox>
              </v:shape>
            </w:pict>
          </w:r>
          <w:r w:rsidR="003C47DD" w:rsidRPr="0075608E">
            <w:rPr>
              <w:rFonts w:ascii="Calibri" w:hAnsi="Calibri"/>
              <w:noProof/>
              <w:sz w:val="48"/>
              <w:lang w:val="en-GB"/>
            </w:rPr>
            <w:pict>
              <v:shape id="_x0000_s1027" type="#_x0000_t202" style="position:absolute;margin-left:176.9pt;margin-top:83.6pt;width:279.7pt;height:18.7pt;z-index:-25165414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rusEA&#10;AADaAAAADwAAAGRycy9kb3ducmV2LnhtbESPQYvCMBSE78L+h/AWvIim7UF2a2NZFgXxputlb4/m&#10;2Rabl9LEtvrrjSB4HGa+GSbLR9OInjpXW1YQLyIQxIXVNZcKTn/b+RcI55E1NpZJwY0c5OuPSYap&#10;tgMfqD/6UoQSdikqqLxvUyldUZFBt7AtcfDOtjPog+xKqTscQrlpZBJFS2mw5rBQYUu/FRWX49Uo&#10;WI6bdrb/pmS4F03P//c49hQrNf0cf1YgPI3+HX7ROx04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K7rBAAAA2gAAAA8AAAAAAAAAAAAAAAAAmAIAAGRycy9kb3du&#10;cmV2LnhtbFBLBQYAAAAABAAEAPUAAACGAwAAAAA=&#10;" filled="f" stroked="f">
                <v:textbox style="mso-next-textbox:#_x0000_s1027;mso-fit-shape-to-text:t" inset="0,0,0,0">
                  <w:txbxContent>
                    <w:p w:rsidR="00BF7A77" w:rsidRPr="00217EA2" w:rsidRDefault="00BF7A77" w:rsidP="00521E2D">
                      <w:pPr>
                        <w:spacing w:line="374" w:lineRule="exact"/>
                        <w:ind w:right="-20" w:firstLineChars="800" w:firstLine="2246"/>
                        <w:rPr>
                          <w:rFonts w:ascii="Georgia" w:hAnsi="Georgia" w:cs="Georgia"/>
                          <w:color w:val="000000"/>
                          <w:spacing w:val="-1"/>
                          <w:w w:val="88"/>
                          <w:sz w:val="33"/>
                          <w:szCs w:val="33"/>
                        </w:rPr>
                      </w:pPr>
                      <w:r>
                        <w:rPr>
                          <w:rFonts w:ascii="Georgia" w:hAnsi="Georgia" w:cs="Georgia"/>
                          <w:color w:val="000000"/>
                          <w:spacing w:val="-8"/>
                          <w:w w:val="88"/>
                          <w:sz w:val="33"/>
                          <w:szCs w:val="33"/>
                        </w:rPr>
                        <w:t>I</w:t>
                      </w:r>
                      <w:r>
                        <w:rPr>
                          <w:rFonts w:ascii="Georgia" w:hAnsi="Georgia" w:cs="Georgia"/>
                          <w:color w:val="000000"/>
                          <w:spacing w:val="-11"/>
                          <w:w w:val="87"/>
                          <w:sz w:val="33"/>
                          <w:szCs w:val="33"/>
                        </w:rPr>
                        <w:t>ss</w:t>
                      </w:r>
                      <w:r>
                        <w:rPr>
                          <w:rFonts w:ascii="Georgia" w:hAnsi="Georgia" w:cs="Georgia"/>
                          <w:color w:val="000000"/>
                          <w:spacing w:val="-6"/>
                          <w:w w:val="88"/>
                          <w:sz w:val="33"/>
                          <w:szCs w:val="33"/>
                        </w:rPr>
                        <w:t>u</w:t>
                      </w:r>
                      <w:r>
                        <w:rPr>
                          <w:rFonts w:ascii="Georgia" w:hAnsi="Georgia" w:cs="Georgia"/>
                          <w:color w:val="000000"/>
                          <w:spacing w:val="-1"/>
                          <w:w w:val="88"/>
                          <w:sz w:val="33"/>
                          <w:szCs w:val="33"/>
                        </w:rPr>
                        <w:t>e</w:t>
                      </w:r>
                      <w:r>
                        <w:rPr>
                          <w:rFonts w:ascii="Georgia" w:hAnsi="Georgia" w:cs="Georgia"/>
                          <w:color w:val="000000"/>
                          <w:spacing w:val="-14"/>
                          <w:sz w:val="33"/>
                          <w:szCs w:val="33"/>
                        </w:rPr>
                        <w:t xml:space="preserve"> 0</w:t>
                      </w:r>
                      <w:r w:rsidR="00521E2D">
                        <w:rPr>
                          <w:rFonts w:ascii="Georgia" w:hAnsi="Georgia" w:cs="Georgia" w:hint="eastAsia"/>
                          <w:color w:val="000000"/>
                          <w:spacing w:val="-14"/>
                          <w:sz w:val="33"/>
                          <w:szCs w:val="33"/>
                        </w:rPr>
                        <w:t>5</w:t>
                      </w:r>
                      <w:r>
                        <w:rPr>
                          <w:rFonts w:ascii="Georgia" w:hAnsi="Georgia" w:cs="Georgia"/>
                          <w:color w:val="000000"/>
                          <w:spacing w:val="57"/>
                          <w:w w:val="88"/>
                          <w:sz w:val="33"/>
                          <w:szCs w:val="33"/>
                        </w:rPr>
                        <w:t>,</w:t>
                      </w:r>
                      <w:r>
                        <w:rPr>
                          <w:rFonts w:ascii="Georgia" w:hAnsi="Georgia" w:cs="Georgia"/>
                          <w:color w:val="000000"/>
                          <w:spacing w:val="-11"/>
                          <w:w w:val="88"/>
                          <w:sz w:val="33"/>
                          <w:szCs w:val="33"/>
                        </w:rPr>
                        <w:t xml:space="preserve"> </w:t>
                      </w:r>
                      <w:r w:rsidR="00521E2D">
                        <w:rPr>
                          <w:rFonts w:ascii="Georgia" w:hAnsi="Georgia" w:cs="Georgia" w:hint="eastAsia"/>
                          <w:color w:val="000000"/>
                          <w:spacing w:val="-11"/>
                          <w:w w:val="88"/>
                          <w:sz w:val="33"/>
                          <w:szCs w:val="33"/>
                        </w:rPr>
                        <w:t>May</w:t>
                      </w:r>
                      <w:r>
                        <w:rPr>
                          <w:rFonts w:ascii="Georgia" w:hAnsi="Georgia" w:cs="Georgia"/>
                          <w:color w:val="000000"/>
                          <w:spacing w:val="-9"/>
                          <w:w w:val="88"/>
                          <w:sz w:val="33"/>
                          <w:szCs w:val="33"/>
                        </w:rPr>
                        <w:t xml:space="preserve">, </w:t>
                      </w:r>
                      <w:r w:rsidR="00521E2D">
                        <w:rPr>
                          <w:rFonts w:ascii="Georgia" w:hAnsi="Georgia" w:cs="Georgia" w:hint="eastAsia"/>
                          <w:color w:val="000000"/>
                          <w:spacing w:val="-9"/>
                          <w:w w:val="88"/>
                          <w:sz w:val="33"/>
                          <w:szCs w:val="33"/>
                        </w:rPr>
                        <w:t>31</w:t>
                      </w:r>
                      <w:r>
                        <w:rPr>
                          <w:rFonts w:ascii="Georgia" w:hAnsi="Georgia" w:cs="Georgia"/>
                          <w:color w:val="000000"/>
                          <w:spacing w:val="57"/>
                          <w:w w:val="88"/>
                          <w:sz w:val="33"/>
                          <w:szCs w:val="33"/>
                        </w:rPr>
                        <w:t xml:space="preserve">, </w:t>
                      </w:r>
                      <w:r>
                        <w:rPr>
                          <w:rFonts w:ascii="Georgia" w:hAnsi="Georgia" w:cs="Georgia"/>
                          <w:color w:val="000000"/>
                          <w:spacing w:val="-12"/>
                          <w:w w:val="88"/>
                          <w:sz w:val="33"/>
                          <w:szCs w:val="33"/>
                        </w:rPr>
                        <w:t>2</w:t>
                      </w:r>
                      <w:r>
                        <w:rPr>
                          <w:rFonts w:ascii="Georgia" w:hAnsi="Georgia" w:cs="Georgia"/>
                          <w:color w:val="000000"/>
                          <w:spacing w:val="-6"/>
                          <w:w w:val="88"/>
                          <w:sz w:val="33"/>
                          <w:szCs w:val="33"/>
                        </w:rPr>
                        <w:t>0</w:t>
                      </w:r>
                      <w:r>
                        <w:rPr>
                          <w:rFonts w:ascii="Georgia" w:hAnsi="Georgia" w:cs="Georgia"/>
                          <w:color w:val="000000"/>
                          <w:spacing w:val="-14"/>
                          <w:w w:val="88"/>
                          <w:sz w:val="33"/>
                          <w:szCs w:val="33"/>
                        </w:rPr>
                        <w:t>2</w:t>
                      </w:r>
                      <w:r>
                        <w:rPr>
                          <w:rFonts w:ascii="Georgia" w:hAnsi="Georgia" w:cs="Georgia"/>
                          <w:color w:val="000000"/>
                          <w:spacing w:val="-1"/>
                          <w:w w:val="88"/>
                          <w:sz w:val="33"/>
                          <w:szCs w:val="33"/>
                        </w:rPr>
                        <w:t>3</w:t>
                      </w:r>
                    </w:p>
                  </w:txbxContent>
                </v:textbox>
              </v:shape>
            </w:pict>
          </w:r>
          <w:r w:rsidRPr="0075608E">
            <w:rPr>
              <w:sz w:val="48"/>
              <w:lang w:val="en-GB"/>
            </w:rPr>
            <w:br w:type="page"/>
          </w:r>
        </w:p>
      </w:sdtContent>
    </w:sdt>
    <w:p w:rsidR="00423BB3" w:rsidRPr="0075608E" w:rsidRDefault="00423BB3">
      <w:pPr>
        <w:pageBreakBefore/>
        <w:rPr>
          <w:lang w:val="en-GB"/>
        </w:rPr>
      </w:pPr>
    </w:p>
    <w:sdt>
      <w:sdtPr>
        <w:rPr>
          <w:lang w:val="en-GB"/>
        </w:rPr>
        <w:id w:val="4844945"/>
        <w:docPartObj>
          <w:docPartGallery w:val="Table of Contents"/>
          <w:docPartUnique/>
        </w:docPartObj>
      </w:sdtPr>
      <w:sdtEndPr>
        <w:rPr>
          <w:rFonts w:eastAsiaTheme="minorHAnsi"/>
          <w:sz w:val="24"/>
          <w:szCs w:val="24"/>
        </w:rPr>
      </w:sdtEndPr>
      <w:sdtContent>
        <w:p w:rsidR="30313733" w:rsidRPr="0075608E" w:rsidRDefault="00BC3BCD">
          <w:pPr>
            <w:jc w:val="center"/>
            <w:rPr>
              <w:lang w:val="en-GB"/>
            </w:rPr>
          </w:pPr>
          <w:r w:rsidRPr="0075608E">
            <w:rPr>
              <w:rFonts w:ascii="Arial" w:eastAsia="宋体" w:hAnsi="宋体"/>
              <w:b/>
              <w:sz w:val="20"/>
              <w:lang w:val="en-GB"/>
            </w:rPr>
            <w:t>Contents</w:t>
          </w:r>
        </w:p>
        <w:p w:rsidR="00D334D5" w:rsidRPr="0075608E" w:rsidRDefault="00BC3BCD">
          <w:pPr>
            <w:pStyle w:val="10"/>
            <w:tabs>
              <w:tab w:val="right" w:leader="dot" w:pos="8630"/>
            </w:tabs>
            <w:rPr>
              <w:noProof/>
              <w:lang w:val="en-GB"/>
            </w:rPr>
          </w:pPr>
          <w:r w:rsidRPr="0075608E">
            <w:rPr>
              <w:lang w:val="en-GB"/>
            </w:rPr>
            <w:fldChar w:fldCharType="begin"/>
          </w:r>
          <w:r w:rsidRPr="0075608E">
            <w:rPr>
              <w:lang w:val="en-GB"/>
            </w:rPr>
            <w:instrText xml:space="preserve">TOC \o "1-3" \h \z \u </w:instrText>
          </w:r>
          <w:r w:rsidRPr="0075608E">
            <w:rPr>
              <w:lang w:val="en-GB"/>
            </w:rPr>
            <w:fldChar w:fldCharType="separate"/>
          </w:r>
          <w:hyperlink w:anchor="_Toc136437662" w:history="1">
            <w:r w:rsidR="00D334D5" w:rsidRPr="0075608E">
              <w:rPr>
                <w:rStyle w:val="a3"/>
                <w:rFonts w:ascii="Arial" w:eastAsia="Arial" w:hAnsi="Arial" w:cs="Arial"/>
                <w:noProof/>
                <w:lang w:val="en-GB"/>
              </w:rPr>
              <w:t>Market Analysis</w:t>
            </w:r>
            <w:r w:rsidR="00D334D5" w:rsidRPr="0075608E">
              <w:rPr>
                <w:noProof/>
                <w:webHidden/>
                <w:lang w:val="en-GB"/>
              </w:rPr>
              <w:tab/>
            </w:r>
            <w:r w:rsidR="00D334D5" w:rsidRPr="0075608E">
              <w:rPr>
                <w:noProof/>
                <w:webHidden/>
                <w:lang w:val="en-GB"/>
              </w:rPr>
              <w:fldChar w:fldCharType="begin"/>
            </w:r>
            <w:r w:rsidR="00D334D5" w:rsidRPr="0075608E">
              <w:rPr>
                <w:noProof/>
                <w:webHidden/>
                <w:lang w:val="en-GB"/>
              </w:rPr>
              <w:instrText xml:space="preserve"> PAGEREF _Toc136437662 \h </w:instrText>
            </w:r>
            <w:r w:rsidR="00D334D5" w:rsidRPr="0075608E">
              <w:rPr>
                <w:noProof/>
                <w:webHidden/>
                <w:lang w:val="en-GB"/>
              </w:rPr>
            </w:r>
            <w:r w:rsidR="00D334D5" w:rsidRPr="0075608E">
              <w:rPr>
                <w:noProof/>
                <w:webHidden/>
                <w:lang w:val="en-GB"/>
              </w:rPr>
              <w:fldChar w:fldCharType="separate"/>
            </w:r>
            <w:r w:rsidR="00D334D5" w:rsidRPr="0075608E">
              <w:rPr>
                <w:noProof/>
                <w:webHidden/>
                <w:lang w:val="en-GB"/>
              </w:rPr>
              <w:t>1</w:t>
            </w:r>
            <w:r w:rsidR="00D334D5" w:rsidRPr="0075608E">
              <w:rPr>
                <w:noProof/>
                <w:webHidden/>
                <w:lang w:val="en-GB"/>
              </w:rPr>
              <w:fldChar w:fldCharType="end"/>
            </w:r>
          </w:hyperlink>
        </w:p>
        <w:p w:rsidR="00D334D5" w:rsidRPr="0075608E" w:rsidRDefault="003C47DD">
          <w:pPr>
            <w:pStyle w:val="20"/>
            <w:tabs>
              <w:tab w:val="right" w:leader="dot" w:pos="8630"/>
            </w:tabs>
            <w:rPr>
              <w:noProof/>
              <w:lang w:val="en-GB"/>
            </w:rPr>
          </w:pPr>
          <w:hyperlink w:anchor="_Toc136437663" w:history="1">
            <w:r w:rsidR="00D334D5" w:rsidRPr="0075608E">
              <w:rPr>
                <w:rStyle w:val="a3"/>
                <w:rFonts w:ascii="Arial" w:eastAsia="Arial" w:hAnsi="Arial" w:cs="Arial"/>
                <w:noProof/>
                <w:lang w:val="en-GB"/>
              </w:rPr>
              <w:t>Bailong Chuangyuan sees increased revenue and net profit in 2022</w:t>
            </w:r>
            <w:r w:rsidR="00D334D5" w:rsidRPr="0075608E">
              <w:rPr>
                <w:noProof/>
                <w:webHidden/>
                <w:lang w:val="en-GB"/>
              </w:rPr>
              <w:tab/>
            </w:r>
            <w:r w:rsidR="00D334D5" w:rsidRPr="0075608E">
              <w:rPr>
                <w:noProof/>
                <w:webHidden/>
                <w:lang w:val="en-GB"/>
              </w:rPr>
              <w:fldChar w:fldCharType="begin"/>
            </w:r>
            <w:r w:rsidR="00D334D5" w:rsidRPr="0075608E">
              <w:rPr>
                <w:noProof/>
                <w:webHidden/>
                <w:lang w:val="en-GB"/>
              </w:rPr>
              <w:instrText xml:space="preserve"> PAGEREF _Toc136437663 \h </w:instrText>
            </w:r>
            <w:r w:rsidR="00D334D5" w:rsidRPr="0075608E">
              <w:rPr>
                <w:noProof/>
                <w:webHidden/>
                <w:lang w:val="en-GB"/>
              </w:rPr>
            </w:r>
            <w:r w:rsidR="00D334D5" w:rsidRPr="0075608E">
              <w:rPr>
                <w:noProof/>
                <w:webHidden/>
                <w:lang w:val="en-GB"/>
              </w:rPr>
              <w:fldChar w:fldCharType="separate"/>
            </w:r>
            <w:r w:rsidR="00D334D5" w:rsidRPr="0075608E">
              <w:rPr>
                <w:noProof/>
                <w:webHidden/>
                <w:lang w:val="en-GB"/>
              </w:rPr>
              <w:t>1</w:t>
            </w:r>
            <w:r w:rsidR="00D334D5" w:rsidRPr="0075608E">
              <w:rPr>
                <w:noProof/>
                <w:webHidden/>
                <w:lang w:val="en-GB"/>
              </w:rPr>
              <w:fldChar w:fldCharType="end"/>
            </w:r>
          </w:hyperlink>
        </w:p>
        <w:p w:rsidR="00D334D5" w:rsidRPr="0075608E" w:rsidRDefault="003C47DD">
          <w:pPr>
            <w:pStyle w:val="20"/>
            <w:tabs>
              <w:tab w:val="right" w:leader="dot" w:pos="8630"/>
            </w:tabs>
            <w:rPr>
              <w:noProof/>
              <w:lang w:val="en-GB"/>
            </w:rPr>
          </w:pPr>
          <w:hyperlink w:anchor="_Toc136437664" w:history="1">
            <w:r w:rsidR="00D334D5" w:rsidRPr="0075608E">
              <w:rPr>
                <w:rStyle w:val="a3"/>
                <w:rFonts w:ascii="Arial" w:eastAsia="Arial" w:hAnsi="Arial" w:cs="Arial"/>
                <w:noProof/>
                <w:lang w:val="en-GB"/>
              </w:rPr>
              <w:t>Anhui Jinhe closes 2022 with record revenue and net profit</w:t>
            </w:r>
            <w:r w:rsidR="00D334D5" w:rsidRPr="0075608E">
              <w:rPr>
                <w:noProof/>
                <w:webHidden/>
                <w:lang w:val="en-GB"/>
              </w:rPr>
              <w:tab/>
            </w:r>
            <w:r w:rsidR="00D334D5" w:rsidRPr="0075608E">
              <w:rPr>
                <w:noProof/>
                <w:webHidden/>
                <w:lang w:val="en-GB"/>
              </w:rPr>
              <w:fldChar w:fldCharType="begin"/>
            </w:r>
            <w:r w:rsidR="00D334D5" w:rsidRPr="0075608E">
              <w:rPr>
                <w:noProof/>
                <w:webHidden/>
                <w:lang w:val="en-GB"/>
              </w:rPr>
              <w:instrText xml:space="preserve"> PAGEREF _Toc136437664 \h </w:instrText>
            </w:r>
            <w:r w:rsidR="00D334D5" w:rsidRPr="0075608E">
              <w:rPr>
                <w:noProof/>
                <w:webHidden/>
                <w:lang w:val="en-GB"/>
              </w:rPr>
            </w:r>
            <w:r w:rsidR="00D334D5" w:rsidRPr="0075608E">
              <w:rPr>
                <w:noProof/>
                <w:webHidden/>
                <w:lang w:val="en-GB"/>
              </w:rPr>
              <w:fldChar w:fldCharType="separate"/>
            </w:r>
            <w:r w:rsidR="00D334D5" w:rsidRPr="0075608E">
              <w:rPr>
                <w:noProof/>
                <w:webHidden/>
                <w:lang w:val="en-GB"/>
              </w:rPr>
              <w:t>2</w:t>
            </w:r>
            <w:r w:rsidR="00D334D5" w:rsidRPr="0075608E">
              <w:rPr>
                <w:noProof/>
                <w:webHidden/>
                <w:lang w:val="en-GB"/>
              </w:rPr>
              <w:fldChar w:fldCharType="end"/>
            </w:r>
          </w:hyperlink>
        </w:p>
        <w:p w:rsidR="00D334D5" w:rsidRPr="0075608E" w:rsidRDefault="003C47DD">
          <w:pPr>
            <w:pStyle w:val="20"/>
            <w:tabs>
              <w:tab w:val="right" w:leader="dot" w:pos="8630"/>
            </w:tabs>
            <w:rPr>
              <w:noProof/>
              <w:lang w:val="en-GB"/>
            </w:rPr>
          </w:pPr>
          <w:hyperlink w:anchor="_Toc136437665" w:history="1">
            <w:r w:rsidR="00D334D5" w:rsidRPr="0075608E">
              <w:rPr>
                <w:rStyle w:val="a3"/>
                <w:rFonts w:ascii="Arial" w:eastAsia="Arial" w:hAnsi="Arial" w:cs="Arial"/>
                <w:noProof/>
                <w:lang w:val="en-GB"/>
              </w:rPr>
              <w:t>Revenue and net profit at Sanyuan Biology and BLB tumble amid rising competition in erythritol industry</w:t>
            </w:r>
            <w:r w:rsidR="00D334D5" w:rsidRPr="0075608E">
              <w:rPr>
                <w:noProof/>
                <w:webHidden/>
                <w:lang w:val="en-GB"/>
              </w:rPr>
              <w:tab/>
            </w:r>
            <w:r w:rsidR="00D334D5" w:rsidRPr="0075608E">
              <w:rPr>
                <w:noProof/>
                <w:webHidden/>
                <w:lang w:val="en-GB"/>
              </w:rPr>
              <w:fldChar w:fldCharType="begin"/>
            </w:r>
            <w:r w:rsidR="00D334D5" w:rsidRPr="0075608E">
              <w:rPr>
                <w:noProof/>
                <w:webHidden/>
                <w:lang w:val="en-GB"/>
              </w:rPr>
              <w:instrText xml:space="preserve"> PAGEREF _Toc136437665 \h </w:instrText>
            </w:r>
            <w:r w:rsidR="00D334D5" w:rsidRPr="0075608E">
              <w:rPr>
                <w:noProof/>
                <w:webHidden/>
                <w:lang w:val="en-GB"/>
              </w:rPr>
            </w:r>
            <w:r w:rsidR="00D334D5" w:rsidRPr="0075608E">
              <w:rPr>
                <w:noProof/>
                <w:webHidden/>
                <w:lang w:val="en-GB"/>
              </w:rPr>
              <w:fldChar w:fldCharType="separate"/>
            </w:r>
            <w:r w:rsidR="00D334D5" w:rsidRPr="0075608E">
              <w:rPr>
                <w:noProof/>
                <w:webHidden/>
                <w:lang w:val="en-GB"/>
              </w:rPr>
              <w:t>4</w:t>
            </w:r>
            <w:r w:rsidR="00D334D5" w:rsidRPr="0075608E">
              <w:rPr>
                <w:noProof/>
                <w:webHidden/>
                <w:lang w:val="en-GB"/>
              </w:rPr>
              <w:fldChar w:fldCharType="end"/>
            </w:r>
          </w:hyperlink>
        </w:p>
        <w:p w:rsidR="00D334D5" w:rsidRPr="0075608E" w:rsidRDefault="003C47DD">
          <w:pPr>
            <w:pStyle w:val="20"/>
            <w:tabs>
              <w:tab w:val="right" w:leader="dot" w:pos="8630"/>
            </w:tabs>
            <w:rPr>
              <w:noProof/>
              <w:lang w:val="en-GB"/>
            </w:rPr>
          </w:pPr>
          <w:hyperlink w:anchor="_Toc136437666" w:history="1">
            <w:r w:rsidR="00D334D5" w:rsidRPr="0075608E">
              <w:rPr>
                <w:rStyle w:val="a3"/>
                <w:rFonts w:ascii="Arial" w:eastAsia="Arial" w:hAnsi="Arial" w:cs="Arial"/>
                <w:noProof/>
                <w:lang w:val="en-GB"/>
              </w:rPr>
              <w:t>CCGB reports sales revenue from stevia nears USD30 million in 2022</w:t>
            </w:r>
            <w:r w:rsidR="00D334D5" w:rsidRPr="0075608E">
              <w:rPr>
                <w:noProof/>
                <w:webHidden/>
                <w:lang w:val="en-GB"/>
              </w:rPr>
              <w:tab/>
            </w:r>
            <w:r w:rsidR="00D334D5" w:rsidRPr="0075608E">
              <w:rPr>
                <w:noProof/>
                <w:webHidden/>
                <w:lang w:val="en-GB"/>
              </w:rPr>
              <w:fldChar w:fldCharType="begin"/>
            </w:r>
            <w:r w:rsidR="00D334D5" w:rsidRPr="0075608E">
              <w:rPr>
                <w:noProof/>
                <w:webHidden/>
                <w:lang w:val="en-GB"/>
              </w:rPr>
              <w:instrText xml:space="preserve"> PAGEREF _Toc136437666 \h </w:instrText>
            </w:r>
            <w:r w:rsidR="00D334D5" w:rsidRPr="0075608E">
              <w:rPr>
                <w:noProof/>
                <w:webHidden/>
                <w:lang w:val="en-GB"/>
              </w:rPr>
            </w:r>
            <w:r w:rsidR="00D334D5" w:rsidRPr="0075608E">
              <w:rPr>
                <w:noProof/>
                <w:webHidden/>
                <w:lang w:val="en-GB"/>
              </w:rPr>
              <w:fldChar w:fldCharType="separate"/>
            </w:r>
            <w:r w:rsidR="00D334D5" w:rsidRPr="0075608E">
              <w:rPr>
                <w:noProof/>
                <w:webHidden/>
                <w:lang w:val="en-GB"/>
              </w:rPr>
              <w:t>6</w:t>
            </w:r>
            <w:r w:rsidR="00D334D5" w:rsidRPr="0075608E">
              <w:rPr>
                <w:noProof/>
                <w:webHidden/>
                <w:lang w:val="en-GB"/>
              </w:rPr>
              <w:fldChar w:fldCharType="end"/>
            </w:r>
          </w:hyperlink>
        </w:p>
        <w:p w:rsidR="00D334D5" w:rsidRPr="0075608E" w:rsidRDefault="003C47DD">
          <w:pPr>
            <w:pStyle w:val="10"/>
            <w:tabs>
              <w:tab w:val="right" w:leader="dot" w:pos="8630"/>
            </w:tabs>
            <w:rPr>
              <w:noProof/>
              <w:lang w:val="en-GB"/>
            </w:rPr>
          </w:pPr>
          <w:hyperlink w:anchor="_Toc136437667" w:history="1">
            <w:r w:rsidR="00D334D5" w:rsidRPr="0075608E">
              <w:rPr>
                <w:rStyle w:val="a3"/>
                <w:rFonts w:ascii="Arial" w:eastAsia="Arial" w:hAnsi="Arial" w:cs="Arial"/>
                <w:noProof/>
                <w:lang w:val="en-GB"/>
              </w:rPr>
              <w:t>Price Update</w:t>
            </w:r>
            <w:r w:rsidR="00D334D5" w:rsidRPr="0075608E">
              <w:rPr>
                <w:noProof/>
                <w:webHidden/>
                <w:lang w:val="en-GB"/>
              </w:rPr>
              <w:tab/>
            </w:r>
            <w:r w:rsidR="00D334D5" w:rsidRPr="0075608E">
              <w:rPr>
                <w:noProof/>
                <w:webHidden/>
                <w:lang w:val="en-GB"/>
              </w:rPr>
              <w:fldChar w:fldCharType="begin"/>
            </w:r>
            <w:r w:rsidR="00D334D5" w:rsidRPr="0075608E">
              <w:rPr>
                <w:noProof/>
                <w:webHidden/>
                <w:lang w:val="en-GB"/>
              </w:rPr>
              <w:instrText xml:space="preserve"> PAGEREF _Toc136437667 \h </w:instrText>
            </w:r>
            <w:r w:rsidR="00D334D5" w:rsidRPr="0075608E">
              <w:rPr>
                <w:noProof/>
                <w:webHidden/>
                <w:lang w:val="en-GB"/>
              </w:rPr>
            </w:r>
            <w:r w:rsidR="00D334D5" w:rsidRPr="0075608E">
              <w:rPr>
                <w:noProof/>
                <w:webHidden/>
                <w:lang w:val="en-GB"/>
              </w:rPr>
              <w:fldChar w:fldCharType="separate"/>
            </w:r>
            <w:r w:rsidR="00D334D5" w:rsidRPr="0075608E">
              <w:rPr>
                <w:noProof/>
                <w:webHidden/>
                <w:lang w:val="en-GB"/>
              </w:rPr>
              <w:t>8</w:t>
            </w:r>
            <w:r w:rsidR="00D334D5" w:rsidRPr="0075608E">
              <w:rPr>
                <w:noProof/>
                <w:webHidden/>
                <w:lang w:val="en-GB"/>
              </w:rPr>
              <w:fldChar w:fldCharType="end"/>
            </w:r>
          </w:hyperlink>
        </w:p>
        <w:p w:rsidR="00D334D5" w:rsidRPr="0075608E" w:rsidRDefault="003C47DD">
          <w:pPr>
            <w:pStyle w:val="20"/>
            <w:tabs>
              <w:tab w:val="right" w:leader="dot" w:pos="8630"/>
            </w:tabs>
            <w:rPr>
              <w:noProof/>
              <w:lang w:val="en-GB"/>
            </w:rPr>
          </w:pPr>
          <w:hyperlink w:anchor="_Toc136437668" w:history="1">
            <w:r w:rsidR="00D334D5" w:rsidRPr="0075608E">
              <w:rPr>
                <w:rStyle w:val="a3"/>
                <w:rFonts w:ascii="Arial" w:eastAsia="Arial" w:hAnsi="Arial" w:cs="Arial"/>
                <w:noProof/>
                <w:lang w:val="en-GB"/>
              </w:rPr>
              <w:t>Ex-works prices of sweeteners in China, May 2023</w:t>
            </w:r>
            <w:r w:rsidR="00D334D5" w:rsidRPr="0075608E">
              <w:rPr>
                <w:noProof/>
                <w:webHidden/>
                <w:lang w:val="en-GB"/>
              </w:rPr>
              <w:tab/>
            </w:r>
            <w:r w:rsidR="00D334D5" w:rsidRPr="0075608E">
              <w:rPr>
                <w:noProof/>
                <w:webHidden/>
                <w:lang w:val="en-GB"/>
              </w:rPr>
              <w:fldChar w:fldCharType="begin"/>
            </w:r>
            <w:r w:rsidR="00D334D5" w:rsidRPr="0075608E">
              <w:rPr>
                <w:noProof/>
                <w:webHidden/>
                <w:lang w:val="en-GB"/>
              </w:rPr>
              <w:instrText xml:space="preserve"> PAGEREF _Toc136437668 \h </w:instrText>
            </w:r>
            <w:r w:rsidR="00D334D5" w:rsidRPr="0075608E">
              <w:rPr>
                <w:noProof/>
                <w:webHidden/>
                <w:lang w:val="en-GB"/>
              </w:rPr>
            </w:r>
            <w:r w:rsidR="00D334D5" w:rsidRPr="0075608E">
              <w:rPr>
                <w:noProof/>
                <w:webHidden/>
                <w:lang w:val="en-GB"/>
              </w:rPr>
              <w:fldChar w:fldCharType="separate"/>
            </w:r>
            <w:r w:rsidR="00D334D5" w:rsidRPr="0075608E">
              <w:rPr>
                <w:noProof/>
                <w:webHidden/>
                <w:lang w:val="en-GB"/>
              </w:rPr>
              <w:t>8</w:t>
            </w:r>
            <w:r w:rsidR="00D334D5" w:rsidRPr="0075608E">
              <w:rPr>
                <w:noProof/>
                <w:webHidden/>
                <w:lang w:val="en-GB"/>
              </w:rPr>
              <w:fldChar w:fldCharType="end"/>
            </w:r>
          </w:hyperlink>
        </w:p>
        <w:p w:rsidR="00D334D5" w:rsidRPr="0075608E" w:rsidRDefault="003C47DD">
          <w:pPr>
            <w:pStyle w:val="20"/>
            <w:tabs>
              <w:tab w:val="right" w:leader="dot" w:pos="8630"/>
            </w:tabs>
            <w:rPr>
              <w:noProof/>
              <w:lang w:val="en-GB"/>
            </w:rPr>
          </w:pPr>
          <w:hyperlink w:anchor="_Toc136437669" w:history="1">
            <w:r w:rsidR="00D334D5" w:rsidRPr="0075608E">
              <w:rPr>
                <w:rStyle w:val="a3"/>
                <w:rFonts w:ascii="Arial" w:eastAsia="Arial" w:hAnsi="Arial" w:cs="Arial"/>
                <w:noProof/>
                <w:lang w:val="en-GB"/>
              </w:rPr>
              <w:t>Ex-works prices of sucralose and acesulfame-K continue downward trend</w:t>
            </w:r>
            <w:r w:rsidR="00D334D5" w:rsidRPr="0075608E">
              <w:rPr>
                <w:noProof/>
                <w:webHidden/>
                <w:lang w:val="en-GB"/>
              </w:rPr>
              <w:tab/>
            </w:r>
            <w:r w:rsidR="00D334D5" w:rsidRPr="0075608E">
              <w:rPr>
                <w:noProof/>
                <w:webHidden/>
                <w:lang w:val="en-GB"/>
              </w:rPr>
              <w:fldChar w:fldCharType="begin"/>
            </w:r>
            <w:r w:rsidR="00D334D5" w:rsidRPr="0075608E">
              <w:rPr>
                <w:noProof/>
                <w:webHidden/>
                <w:lang w:val="en-GB"/>
              </w:rPr>
              <w:instrText xml:space="preserve"> PAGEREF _Toc136437669 \h </w:instrText>
            </w:r>
            <w:r w:rsidR="00D334D5" w:rsidRPr="0075608E">
              <w:rPr>
                <w:noProof/>
                <w:webHidden/>
                <w:lang w:val="en-GB"/>
              </w:rPr>
            </w:r>
            <w:r w:rsidR="00D334D5" w:rsidRPr="0075608E">
              <w:rPr>
                <w:noProof/>
                <w:webHidden/>
                <w:lang w:val="en-GB"/>
              </w:rPr>
              <w:fldChar w:fldCharType="separate"/>
            </w:r>
            <w:r w:rsidR="00D334D5" w:rsidRPr="0075608E">
              <w:rPr>
                <w:noProof/>
                <w:webHidden/>
                <w:lang w:val="en-GB"/>
              </w:rPr>
              <w:t>9</w:t>
            </w:r>
            <w:r w:rsidR="00D334D5" w:rsidRPr="0075608E">
              <w:rPr>
                <w:noProof/>
                <w:webHidden/>
                <w:lang w:val="en-GB"/>
              </w:rPr>
              <w:fldChar w:fldCharType="end"/>
            </w:r>
          </w:hyperlink>
        </w:p>
        <w:p w:rsidR="00423BB3" w:rsidRPr="0075608E" w:rsidRDefault="00BC3BCD">
          <w:pPr>
            <w:rPr>
              <w:lang w:val="en-GB"/>
            </w:rPr>
          </w:pPr>
          <w:r w:rsidRPr="0075608E">
            <w:rPr>
              <w:lang w:val="en-GB"/>
            </w:rPr>
            <w:fldChar w:fldCharType="end"/>
          </w:r>
        </w:p>
      </w:sdtContent>
    </w:sdt>
    <w:p w:rsidR="00423BB3" w:rsidRPr="0075608E" w:rsidRDefault="00423BB3">
      <w:pPr>
        <w:rPr>
          <w:lang w:val="en-GB"/>
        </w:rPr>
        <w:sectPr w:rsidR="00423BB3" w:rsidRPr="0075608E" w:rsidSect="00BF7A77">
          <w:pgSz w:w="12240" w:h="15840"/>
          <w:pgMar w:top="1440" w:right="1800" w:bottom="1440" w:left="1800" w:header="720" w:footer="720" w:gutter="0"/>
          <w:pgNumType w:start="0"/>
          <w:cols w:space="720"/>
          <w:titlePg/>
          <w:docGrid w:linePitch="286"/>
        </w:sectPr>
      </w:pPr>
    </w:p>
    <w:p w:rsidR="00423BB3" w:rsidRPr="0075608E" w:rsidRDefault="00BC3BCD">
      <w:pPr>
        <w:pStyle w:val="1"/>
        <w:pageBreakBefore/>
        <w:spacing w:before="0" w:after="0" w:line="360" w:lineRule="auto"/>
        <w:jc w:val="center"/>
        <w:rPr>
          <w:lang w:val="en-GB"/>
        </w:rPr>
      </w:pPr>
      <w:bookmarkStart w:id="0" w:name="_Toc136437662"/>
      <w:r w:rsidRPr="0075608E">
        <w:rPr>
          <w:rFonts w:ascii="Arial" w:eastAsia="Arial" w:hAnsi="Arial" w:cs="Arial"/>
          <w:sz w:val="20"/>
          <w:lang w:val="en-GB"/>
        </w:rPr>
        <w:lastRenderedPageBreak/>
        <w:t>Market Analysis</w:t>
      </w:r>
      <w:bookmarkStart w:id="1" w:name="_Toc105"/>
      <w:bookmarkEnd w:id="0"/>
      <w:bookmarkEnd w:id="1"/>
    </w:p>
    <w:p w:rsidR="002523A0" w:rsidRPr="0075608E" w:rsidRDefault="002523A0" w:rsidP="002523A0">
      <w:pPr>
        <w:pStyle w:val="2"/>
        <w:spacing w:before="0" w:after="0" w:line="360" w:lineRule="auto"/>
        <w:jc w:val="center"/>
        <w:rPr>
          <w:lang w:val="en-GB"/>
        </w:rPr>
      </w:pPr>
      <w:bookmarkStart w:id="2" w:name="_Toc136437663"/>
      <w:r w:rsidRPr="0075608E">
        <w:rPr>
          <w:rFonts w:ascii="Arial" w:eastAsia="Arial" w:hAnsi="Arial" w:cs="Arial"/>
          <w:sz w:val="20"/>
          <w:lang w:val="en-GB"/>
        </w:rPr>
        <w:t>Bailong Chuangyuan sees increased revenue and net profit in 2022</w:t>
      </w:r>
      <w:bookmarkStart w:id="3" w:name="_Toc104"/>
      <w:bookmarkEnd w:id="2"/>
      <w:bookmarkEnd w:id="3"/>
    </w:p>
    <w:p w:rsidR="002523A0" w:rsidRPr="0075608E" w:rsidRDefault="002523A0" w:rsidP="002523A0">
      <w:pPr>
        <w:rPr>
          <w:lang w:val="en-GB"/>
        </w:rPr>
      </w:pPr>
      <w:r w:rsidRPr="0075608E">
        <w:rPr>
          <w:rFonts w:ascii="Arial" w:eastAsia="Arial" w:hAnsi="Arial" w:cs="Arial"/>
          <w:sz w:val="20"/>
          <w:lang w:val="en-GB"/>
        </w:rPr>
        <w:t>Summary: Bailong Chuangyuan's revenue and net profit in 2022 recorded an increase compared to the previous year. But in Q1 2023, its revenue posted a YoY dip while net profit grew steadily.</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On 28 April, Shandong Bailong Chuangyuan Bio-Tech Co., Ltd. (Bailong Chuangyuan) released its 2022 annual report as well as Q1 2023 results.</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According to Bailong Chuangyuan, its production, operation and overseas business were running properly during 2022 and it recorded a 10.49% increase in revenue and a 44.34% growth in net profit attributable to shareholders of the listed company as compared to 2021. The rise primarily because increased domestic and overseas demand boosted the sales volume of its products and its product mix was improved.</w:t>
      </w:r>
    </w:p>
    <w:p w:rsidR="002523A0" w:rsidRPr="0075608E" w:rsidRDefault="002523A0" w:rsidP="002523A0">
      <w:pPr>
        <w:rPr>
          <w:lang w:val="en-GB"/>
        </w:rPr>
      </w:pPr>
    </w:p>
    <w:p w:rsidR="002523A0" w:rsidRPr="0075608E" w:rsidRDefault="002523A0" w:rsidP="002523A0">
      <w:pPr>
        <w:spacing w:after="100"/>
        <w:jc w:val="center"/>
        <w:rPr>
          <w:lang w:val="en-GB"/>
        </w:rPr>
      </w:pPr>
      <w:r w:rsidRPr="0075608E">
        <w:rPr>
          <w:rFonts w:ascii="Arial" w:eastAsia="Arial" w:hAnsi="Arial" w:cs="Arial"/>
          <w:b/>
          <w:sz w:val="16"/>
          <w:lang w:val="en-GB"/>
        </w:rPr>
        <w:t>TABLE</w:t>
      </w:r>
      <w:r w:rsidRPr="0075608E">
        <w:rPr>
          <w:rFonts w:ascii="Arial" w:eastAsia="Arial" w:hAnsi="Arial" w:cs="Arial"/>
          <w:sz w:val="16"/>
          <w:lang w:val="en-GB"/>
        </w:rPr>
        <w:t xml:space="preserve"> 1: Bailong Chuangyuan key statistics, 2022 vs. 2021, million USD</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20" w:type="dxa"/>
          <w:left w:w="120" w:type="dxa"/>
          <w:bottom w:w="120" w:type="dxa"/>
          <w:right w:w="120" w:type="dxa"/>
        </w:tblCellMar>
        <w:tblLook w:val="04A0" w:firstRow="1" w:lastRow="0" w:firstColumn="1" w:lastColumn="0" w:noHBand="0" w:noVBand="1"/>
      </w:tblPr>
      <w:tblGrid>
        <w:gridCol w:w="7386"/>
        <w:gridCol w:w="730"/>
        <w:gridCol w:w="641"/>
        <w:gridCol w:w="1122"/>
      </w:tblGrid>
      <w:tr w:rsidR="002523A0" w:rsidRPr="0075608E" w:rsidTr="00BB2703">
        <w:trPr>
          <w:trHeight w:val="256"/>
          <w:jc w:val="center"/>
        </w:trPr>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Financial metric</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2022</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2021</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YoY change</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Revenue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104.54</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94.62</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10.49%</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Net profit attributable to shareholders of the listed company</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21.84</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15.13</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44.34%</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Net profit attributable to shareholders of the listed company after deducting non-recurring gains and losses</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20.42</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13.80</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47.96%</w:t>
            </w:r>
          </w:p>
        </w:tc>
      </w:tr>
      <w:tr w:rsidR="002523A0" w:rsidRPr="0075608E" w:rsidTr="00BB2703">
        <w:trPr>
          <w:jc w:val="center"/>
        </w:trPr>
        <w:tc>
          <w:tcPr>
            <w:tcW w:w="0" w:type="auto"/>
            <w:gridSpan w:val="4"/>
            <w:tcBorders>
              <w:left w:val="nil"/>
              <w:bottom w:val="nil"/>
              <w:right w:val="nil"/>
            </w:tcBorders>
          </w:tcPr>
          <w:p w:rsidR="002523A0" w:rsidRPr="0075608E" w:rsidRDefault="002523A0" w:rsidP="00BB2703">
            <w:pPr>
              <w:rPr>
                <w:lang w:val="en-GB"/>
              </w:rPr>
            </w:pPr>
            <w:r w:rsidRPr="0075608E">
              <w:rPr>
                <w:rFonts w:ascii="Arial" w:eastAsia="Arial" w:hAnsi="Arial" w:cs="Arial"/>
                <w:i/>
                <w:sz w:val="16"/>
                <w:lang w:val="en-GB"/>
              </w:rPr>
              <w:t>Source: Bailong Chuangyuan</w:t>
            </w:r>
          </w:p>
        </w:tc>
      </w:tr>
    </w:tbl>
    <w:p w:rsidR="002523A0" w:rsidRPr="0075608E" w:rsidRDefault="002523A0" w:rsidP="002523A0">
      <w:pPr>
        <w:rPr>
          <w:lang w:val="en-GB"/>
        </w:rPr>
      </w:pPr>
    </w:p>
    <w:p w:rsidR="002523A0" w:rsidRPr="0075608E" w:rsidRDefault="002523A0" w:rsidP="002523A0">
      <w:pPr>
        <w:spacing w:after="100"/>
        <w:jc w:val="center"/>
        <w:rPr>
          <w:lang w:val="en-GB"/>
        </w:rPr>
      </w:pPr>
      <w:r w:rsidRPr="0075608E">
        <w:rPr>
          <w:rFonts w:ascii="Arial" w:eastAsia="Arial" w:hAnsi="Arial" w:cs="Arial"/>
          <w:b/>
          <w:sz w:val="16"/>
          <w:lang w:val="en-GB"/>
        </w:rPr>
        <w:t>TABLE</w:t>
      </w:r>
      <w:r w:rsidRPr="0075608E">
        <w:rPr>
          <w:rFonts w:ascii="Arial" w:eastAsia="Arial" w:hAnsi="Arial" w:cs="Arial"/>
          <w:sz w:val="16"/>
          <w:lang w:val="en-GB"/>
        </w:rPr>
        <w:t xml:space="preserve"> 2: Bailong Chuangyuan's revenue by product category</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20" w:type="dxa"/>
          <w:left w:w="120" w:type="dxa"/>
          <w:bottom w:w="120" w:type="dxa"/>
          <w:right w:w="120" w:type="dxa"/>
        </w:tblCellMar>
        <w:tblLook w:val="04A0" w:firstRow="1" w:lastRow="0" w:firstColumn="1" w:lastColumn="0" w:noHBand="0" w:noVBand="1"/>
      </w:tblPr>
      <w:tblGrid>
        <w:gridCol w:w="6507"/>
        <w:gridCol w:w="1195"/>
        <w:gridCol w:w="1195"/>
        <w:gridCol w:w="982"/>
      </w:tblGrid>
      <w:tr w:rsidR="002523A0" w:rsidRPr="0075608E" w:rsidTr="00BB2703">
        <w:trPr>
          <w:trHeight w:val="256"/>
          <w:jc w:val="center"/>
        </w:trPr>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Product category</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2022, million USD</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2021, million USD</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YoY change</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Prebiotics: fructo-oligosaccharides (FOS); isomalto-oligosaccharide (IMO); galacto-oligosaccharides (GOS); xylo-oligosaccharide (XOS); stachyose; etc.</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35.63</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34.55</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3.15%</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Dietary fibre: resistant dextrin and polydextrose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49.06</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42.36</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15.82%</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Other starch-based sugars &amp; sugar alcohols: maltitol; maltose syrup; HFCS (high fructose corn syrup); maltodextrin</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2.41</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3.54</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-32.02%</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Healthy sweeteners: allulose and isomaltulose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13.71</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12.02</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14.10%</w:t>
            </w:r>
          </w:p>
        </w:tc>
      </w:tr>
      <w:tr w:rsidR="002523A0" w:rsidRPr="0075608E" w:rsidTr="00BB2703">
        <w:trPr>
          <w:trHeight w:val="256"/>
          <w:jc w:val="center"/>
        </w:trPr>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Total</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b/>
                <w:sz w:val="16"/>
                <w:lang w:val="en-GB"/>
              </w:rPr>
              <w:t>100.82</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b/>
                <w:sz w:val="16"/>
                <w:lang w:val="en-GB"/>
              </w:rPr>
              <w:t>92.47</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b/>
                <w:sz w:val="16"/>
                <w:lang w:val="en-GB"/>
              </w:rPr>
              <w:t>9.03%</w:t>
            </w:r>
          </w:p>
        </w:tc>
      </w:tr>
      <w:tr w:rsidR="002523A0" w:rsidRPr="0075608E" w:rsidTr="00BB2703">
        <w:trPr>
          <w:jc w:val="center"/>
        </w:trPr>
        <w:tc>
          <w:tcPr>
            <w:tcW w:w="0" w:type="auto"/>
            <w:gridSpan w:val="4"/>
            <w:tcBorders>
              <w:left w:val="nil"/>
              <w:bottom w:val="nil"/>
              <w:right w:val="nil"/>
            </w:tcBorders>
          </w:tcPr>
          <w:p w:rsidR="002523A0" w:rsidRPr="0075608E" w:rsidRDefault="002523A0" w:rsidP="00BB2703">
            <w:pPr>
              <w:rPr>
                <w:lang w:val="en-GB"/>
              </w:rPr>
            </w:pPr>
            <w:r w:rsidRPr="0075608E">
              <w:rPr>
                <w:rFonts w:ascii="Arial" w:eastAsia="Arial" w:hAnsi="Arial" w:cs="Arial"/>
                <w:i/>
                <w:sz w:val="16"/>
                <w:lang w:val="en-GB"/>
              </w:rPr>
              <w:t>Source: Bailong Chuangyuan</w:t>
            </w:r>
          </w:p>
        </w:tc>
      </w:tr>
    </w:tbl>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b/>
          <w:sz w:val="20"/>
          <w:lang w:val="en-GB"/>
        </w:rPr>
        <w:t>Performance of different products</w:t>
      </w:r>
    </w:p>
    <w:p w:rsidR="002523A0" w:rsidRPr="0075608E" w:rsidRDefault="002523A0" w:rsidP="002523A0">
      <w:pPr>
        <w:ind w:left="350"/>
        <w:rPr>
          <w:lang w:val="en-GB"/>
        </w:rPr>
      </w:pPr>
      <w:r w:rsidRPr="0075608E">
        <w:rPr>
          <w:rFonts w:ascii="Arial" w:eastAsia="Arial" w:hAnsi="Arial" w:cs="Arial"/>
          <w:sz w:val="20"/>
          <w:lang w:val="en-GB"/>
        </w:rPr>
        <w:t>● The 3.15% YoY increase in the sales revenue from prebiotics could be attributed to the improved product mix of the company and the rise in the output and sales volume of XOS of higher added value.</w:t>
      </w:r>
    </w:p>
    <w:p w:rsidR="002523A0" w:rsidRPr="0075608E" w:rsidRDefault="002523A0" w:rsidP="002523A0">
      <w:pPr>
        <w:ind w:left="350"/>
        <w:rPr>
          <w:lang w:val="en-GB"/>
        </w:rPr>
      </w:pPr>
      <w:r w:rsidRPr="0075608E">
        <w:rPr>
          <w:rFonts w:ascii="Arial" w:eastAsia="Arial" w:hAnsi="Arial" w:cs="Arial"/>
          <w:sz w:val="20"/>
          <w:lang w:val="en-GB"/>
        </w:rPr>
        <w:t>● The sales revenue from dietary fibre climbed 15.82% YoY, primarily because the sales of polydextrose to domestic food and beverage consumers continued growing, which led to a rapid growth in the sales volume and revenue of dietary fibre.</w:t>
      </w:r>
    </w:p>
    <w:p w:rsidR="002523A0" w:rsidRPr="0075608E" w:rsidRDefault="002523A0" w:rsidP="002523A0">
      <w:pPr>
        <w:ind w:left="350"/>
        <w:rPr>
          <w:lang w:val="en-GB"/>
        </w:rPr>
      </w:pPr>
      <w:r w:rsidRPr="0075608E">
        <w:rPr>
          <w:rFonts w:ascii="Arial" w:eastAsia="Arial" w:hAnsi="Arial" w:cs="Arial"/>
          <w:sz w:val="20"/>
          <w:lang w:val="en-GB"/>
        </w:rPr>
        <w:t>● However, the sales revenue from other starch-based sugars &amp; sugar alcohols decreased by 32.02% from last year. That was mainly because the company reduced the production of starch-based sugars &amp; sugar alcohols to increase the production of dietary fibre and healthy sweeteners that have higher added value.</w:t>
      </w:r>
    </w:p>
    <w:p w:rsidR="002523A0" w:rsidRPr="0075608E" w:rsidRDefault="002523A0" w:rsidP="002523A0">
      <w:pPr>
        <w:ind w:left="350"/>
        <w:rPr>
          <w:lang w:val="en-GB"/>
        </w:rPr>
      </w:pPr>
      <w:r w:rsidRPr="0075608E">
        <w:rPr>
          <w:rFonts w:ascii="Arial" w:eastAsia="Arial" w:hAnsi="Arial" w:cs="Arial"/>
          <w:sz w:val="20"/>
          <w:lang w:val="en-GB"/>
        </w:rPr>
        <w:t>● The sales revenue from healthy sweeteners was up 14.10% on the year, mostly due to the increased overseas demand.</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Besides, during the reporting period, Bailong Chuangyuan launched new products, isomaltulose and stachyose, and it produced them massively and had them commercially available.</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b/>
          <w:sz w:val="20"/>
          <w:lang w:val="en-GB"/>
        </w:rPr>
        <w:lastRenderedPageBreak/>
        <w:t>R&amp;D investment</w:t>
      </w:r>
    </w:p>
    <w:p w:rsidR="002523A0" w:rsidRPr="0075608E" w:rsidRDefault="002523A0" w:rsidP="002523A0">
      <w:pPr>
        <w:rPr>
          <w:lang w:val="en-GB"/>
        </w:rPr>
      </w:pPr>
      <w:r w:rsidRPr="0075608E">
        <w:rPr>
          <w:rFonts w:ascii="Arial" w:eastAsia="Arial" w:hAnsi="Arial" w:cs="Arial"/>
          <w:sz w:val="20"/>
          <w:lang w:val="en-GB"/>
        </w:rPr>
        <w:t>In 2022, Bailong Chuangyuan intensified efforts in scientific renovation and spent more on the development of core technologies, especially those for the production of high-value-added products. Its R&amp;D expenses in 2022 totalled USD3.91 million (RMB27.03 million), an increase of 16.20% over the year-ago period.</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Moreover, considering its further development, Bailong Chuangyuan established a wholly-owned subsidiary called Qingdao Bailong Huichuang Biotechnology Co., Ltd. in Feb. 2023 with its own funds. This subsidiary is expected to give play to Bailong Chuangyuan's advantages in brand, technology development and marketing, so as to further enhance R&amp;D capabilities, improve product mix, expand markets, particularly overseas markets, and strengthen its overall competitiveness.</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b/>
          <w:sz w:val="20"/>
          <w:lang w:val="en-GB"/>
        </w:rPr>
        <w:t>Key projects under construction</w:t>
      </w:r>
    </w:p>
    <w:p w:rsidR="002523A0" w:rsidRPr="0075608E" w:rsidRDefault="002523A0" w:rsidP="002523A0">
      <w:pPr>
        <w:ind w:left="350"/>
        <w:rPr>
          <w:lang w:val="en-GB"/>
        </w:rPr>
      </w:pPr>
      <w:r w:rsidRPr="0075608E">
        <w:rPr>
          <w:rFonts w:ascii="Arial" w:eastAsia="Arial" w:hAnsi="Arial" w:cs="Arial"/>
          <w:sz w:val="20"/>
          <w:lang w:val="en-GB"/>
        </w:rPr>
        <w:t>● As for the 20,000 t/a functional sugar drying project, Bailong Chuangyuan has completed the installation and commissioning of the production equipment and processes as of 28 April, 2023 and the production line is expected to be fully operational soon. This project is planned to produce 8,000 t/a of FOS powder, 5,000 t/a of resistant dextrin powder and 7,000 t/a of polydextrose powder and is expected to generate USD54.31 million (RMB375 million) in revenue.</w:t>
      </w:r>
    </w:p>
    <w:p w:rsidR="002523A0" w:rsidRPr="0075608E" w:rsidRDefault="002523A0" w:rsidP="002523A0">
      <w:pPr>
        <w:ind w:left="350"/>
        <w:rPr>
          <w:lang w:val="en-GB"/>
        </w:rPr>
      </w:pPr>
      <w:r w:rsidRPr="0075608E">
        <w:rPr>
          <w:rFonts w:ascii="Arial" w:eastAsia="Arial" w:hAnsi="Arial" w:cs="Arial"/>
          <w:sz w:val="20"/>
          <w:lang w:val="en-GB"/>
        </w:rPr>
        <w:t>● In terms of the 30,000 t/a soluble dietary fibre project with capacities of 14,000 t/a of resistant dextrin, 16,000 t/a of polydextrose, the company has completed 29.73% of this project as of 31 Dec., 2022. The completion date of this project is extended to Dec. 2023 from the originally planned date of May 2023 because the construction of this project in 2022 was delayed as the transportation of equipment slowed due to disrupted logistics.</w:t>
      </w:r>
    </w:p>
    <w:p w:rsidR="002523A0" w:rsidRPr="0075608E" w:rsidRDefault="002523A0" w:rsidP="002523A0">
      <w:pPr>
        <w:ind w:left="350"/>
        <w:rPr>
          <w:lang w:val="en-GB"/>
        </w:rPr>
      </w:pPr>
      <w:r w:rsidRPr="0075608E">
        <w:rPr>
          <w:rFonts w:ascii="Arial" w:eastAsia="Arial" w:hAnsi="Arial" w:cs="Arial"/>
          <w:sz w:val="20"/>
          <w:lang w:val="en-GB"/>
        </w:rPr>
        <w:t>● In the 15,000 t/a crystalline sugar project with capacities of 10,000 t/a of crystalline fructose and 5,000 t/a of crystalline allulose, 29.73% of the work has been done as of 31 Dec. 2022, and this project is expected to enter the production phase in Q4 2023.</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In Q1 2023, Bailong Chuangyuan's revenue was down slightly, but the net profit grew stably.</w:t>
      </w:r>
    </w:p>
    <w:p w:rsidR="002523A0" w:rsidRPr="0075608E" w:rsidRDefault="002523A0" w:rsidP="002523A0">
      <w:pPr>
        <w:rPr>
          <w:lang w:val="en-GB"/>
        </w:rPr>
      </w:pPr>
    </w:p>
    <w:p w:rsidR="002523A0" w:rsidRPr="0075608E" w:rsidRDefault="002523A0" w:rsidP="002523A0">
      <w:pPr>
        <w:spacing w:after="100"/>
        <w:jc w:val="center"/>
        <w:rPr>
          <w:lang w:val="en-GB"/>
        </w:rPr>
      </w:pPr>
      <w:r w:rsidRPr="0075608E">
        <w:rPr>
          <w:rFonts w:ascii="Arial" w:eastAsia="Arial" w:hAnsi="Arial" w:cs="Arial"/>
          <w:b/>
          <w:sz w:val="16"/>
          <w:lang w:val="en-GB"/>
        </w:rPr>
        <w:t>TABLE</w:t>
      </w:r>
      <w:r w:rsidRPr="0075608E">
        <w:rPr>
          <w:rFonts w:ascii="Arial" w:eastAsia="Arial" w:hAnsi="Arial" w:cs="Arial"/>
          <w:sz w:val="16"/>
          <w:lang w:val="en-GB"/>
        </w:rPr>
        <w:t xml:space="preserve"> 3: Bailong Chuangyuan's results for Q1 2023, million USD</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20" w:type="dxa"/>
          <w:left w:w="120" w:type="dxa"/>
          <w:bottom w:w="120" w:type="dxa"/>
          <w:right w:w="120" w:type="dxa"/>
        </w:tblCellMar>
        <w:tblLook w:val="04A0" w:firstRow="1" w:lastRow="0" w:firstColumn="1" w:lastColumn="0" w:noHBand="0" w:noVBand="1"/>
      </w:tblPr>
      <w:tblGrid>
        <w:gridCol w:w="7765"/>
        <w:gridCol w:w="854"/>
        <w:gridCol w:w="1142"/>
      </w:tblGrid>
      <w:tr w:rsidR="002523A0" w:rsidRPr="0075608E" w:rsidTr="00BB2703">
        <w:trPr>
          <w:trHeight w:val="256"/>
          <w:jc w:val="center"/>
        </w:trPr>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Financial metric</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Q1 2023</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YoY change</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Revenue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28.16</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-1.7%</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Net profit attributable to shareholders of the listed company</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6.44</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9.13%</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Net profit attributable to shareholders of the listed company after deducting non-recurring gains and losses</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5.9</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9.54%</w:t>
            </w:r>
          </w:p>
        </w:tc>
      </w:tr>
      <w:tr w:rsidR="002523A0" w:rsidRPr="0075608E" w:rsidTr="00BB2703">
        <w:trPr>
          <w:jc w:val="center"/>
        </w:trPr>
        <w:tc>
          <w:tcPr>
            <w:tcW w:w="0" w:type="auto"/>
            <w:gridSpan w:val="3"/>
            <w:tcBorders>
              <w:left w:val="nil"/>
              <w:bottom w:val="nil"/>
              <w:right w:val="nil"/>
            </w:tcBorders>
          </w:tcPr>
          <w:p w:rsidR="002523A0" w:rsidRPr="0075608E" w:rsidRDefault="002523A0" w:rsidP="00BB2703">
            <w:pPr>
              <w:rPr>
                <w:lang w:val="en-GB"/>
              </w:rPr>
            </w:pPr>
            <w:r w:rsidRPr="0075608E">
              <w:rPr>
                <w:rFonts w:ascii="Arial" w:eastAsia="Arial" w:hAnsi="Arial" w:cs="Arial"/>
                <w:i/>
                <w:sz w:val="16"/>
                <w:lang w:val="en-GB"/>
              </w:rPr>
              <w:t>Source: Bailong Chuangyuan</w:t>
            </w:r>
          </w:p>
        </w:tc>
      </w:tr>
    </w:tbl>
    <w:p w:rsidR="002523A0" w:rsidRPr="0075608E" w:rsidRDefault="002523A0" w:rsidP="002523A0">
      <w:pPr>
        <w:rPr>
          <w:lang w:val="en-GB"/>
        </w:rPr>
      </w:pPr>
    </w:p>
    <w:p w:rsidR="00423BB3" w:rsidRPr="0075608E" w:rsidRDefault="00423BB3">
      <w:pPr>
        <w:rPr>
          <w:lang w:val="en-GB"/>
        </w:rPr>
      </w:pPr>
    </w:p>
    <w:p w:rsidR="002523A0" w:rsidRPr="0075608E" w:rsidRDefault="002523A0" w:rsidP="002523A0">
      <w:pPr>
        <w:pStyle w:val="2"/>
        <w:spacing w:before="0" w:after="0" w:line="360" w:lineRule="auto"/>
        <w:jc w:val="center"/>
        <w:rPr>
          <w:lang w:val="en-GB"/>
        </w:rPr>
      </w:pPr>
      <w:bookmarkStart w:id="4" w:name="_Toc136437664"/>
      <w:r w:rsidRPr="0075608E">
        <w:rPr>
          <w:rFonts w:ascii="Arial" w:eastAsia="Arial" w:hAnsi="Arial" w:cs="Arial"/>
          <w:sz w:val="20"/>
          <w:lang w:val="en-GB"/>
        </w:rPr>
        <w:t>Anhui Jinhe closes 2022 with record revenue and net profit</w:t>
      </w:r>
      <w:bookmarkEnd w:id="4"/>
    </w:p>
    <w:p w:rsidR="002523A0" w:rsidRPr="0075608E" w:rsidRDefault="002523A0" w:rsidP="002523A0">
      <w:pPr>
        <w:rPr>
          <w:lang w:val="en-GB"/>
        </w:rPr>
      </w:pPr>
      <w:r w:rsidRPr="0075608E">
        <w:rPr>
          <w:rFonts w:ascii="Arial" w:eastAsia="Arial" w:hAnsi="Arial" w:cs="Arial"/>
          <w:sz w:val="20"/>
          <w:lang w:val="en-GB"/>
        </w:rPr>
        <w:t>Summary: Anhui Jinhe's revenue and net profit soared in 2022 but plummeted in Q1 2023.</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On 27 April, Anhui Jinhe Industrial Co., Ltd. (Anhui Jinhe) released its 2022 annual report and Q1 2023 report.</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In 2022, Anhui Jinhe's revenue jumped 24.04% to USD1.05 billion (RMB7.25 billion) and net profit attributable to shareholders of the listed company surged 44% to USD245.46 million (RMB1.70 billion), the best result ever recorded by the company.</w:t>
      </w:r>
    </w:p>
    <w:p w:rsidR="002523A0" w:rsidRPr="0075608E" w:rsidRDefault="002523A0" w:rsidP="002523A0">
      <w:pPr>
        <w:rPr>
          <w:lang w:val="en-GB"/>
        </w:rPr>
      </w:pPr>
    </w:p>
    <w:p w:rsidR="002523A0" w:rsidRPr="0075608E" w:rsidRDefault="002523A0" w:rsidP="002523A0">
      <w:pPr>
        <w:rPr>
          <w:rFonts w:ascii="Arial" w:hAnsi="Arial" w:cs="Arial"/>
          <w:sz w:val="20"/>
          <w:lang w:val="en-GB"/>
        </w:rPr>
      </w:pPr>
      <w:r w:rsidRPr="0075608E">
        <w:rPr>
          <w:rFonts w:ascii="Arial" w:eastAsia="Arial" w:hAnsi="Arial" w:cs="Arial"/>
          <w:sz w:val="20"/>
          <w:lang w:val="en-GB"/>
        </w:rPr>
        <w:t>But in Q1 2023, its revenue decreased by 27.10% to USD200.37 million (RMB1.38 billion) and net profit attributable to shareholders of the listed company plunged 44.49% to USD35.52 million (RMB245.28 million) compared to the year-ago quarter.</w:t>
      </w:r>
    </w:p>
    <w:p w:rsidR="00344D5B" w:rsidRPr="0075608E" w:rsidRDefault="00344D5B" w:rsidP="002523A0">
      <w:pPr>
        <w:rPr>
          <w:rFonts w:ascii="Arial" w:hAnsi="Arial" w:cs="Arial"/>
          <w:sz w:val="20"/>
          <w:lang w:val="en-GB"/>
        </w:rPr>
      </w:pPr>
    </w:p>
    <w:p w:rsidR="00344D5B" w:rsidRPr="0075608E" w:rsidRDefault="00344D5B" w:rsidP="002523A0">
      <w:pPr>
        <w:rPr>
          <w:rFonts w:ascii="Arial" w:hAnsi="Arial" w:cs="Arial"/>
          <w:sz w:val="20"/>
          <w:lang w:val="en-GB"/>
        </w:rPr>
      </w:pPr>
    </w:p>
    <w:p w:rsidR="00344D5B" w:rsidRPr="0075608E" w:rsidRDefault="00344D5B" w:rsidP="002523A0">
      <w:pPr>
        <w:rPr>
          <w:rFonts w:ascii="Arial" w:hAnsi="Arial" w:cs="Arial"/>
          <w:sz w:val="20"/>
          <w:lang w:val="en-GB"/>
        </w:rPr>
      </w:pPr>
    </w:p>
    <w:p w:rsidR="00344D5B" w:rsidRPr="0075608E" w:rsidRDefault="00344D5B" w:rsidP="002523A0">
      <w:pPr>
        <w:rPr>
          <w:rFonts w:ascii="Arial" w:hAnsi="Arial" w:cs="Arial"/>
          <w:sz w:val="20"/>
          <w:lang w:val="en-GB"/>
        </w:rPr>
      </w:pPr>
    </w:p>
    <w:p w:rsidR="00344D5B" w:rsidRPr="0075608E" w:rsidRDefault="00344D5B" w:rsidP="002523A0">
      <w:pPr>
        <w:rPr>
          <w:rFonts w:ascii="Arial" w:hAnsi="Arial" w:cs="Arial"/>
          <w:sz w:val="20"/>
          <w:lang w:val="en-GB"/>
        </w:rPr>
      </w:pPr>
    </w:p>
    <w:p w:rsidR="00344D5B" w:rsidRPr="0075608E" w:rsidRDefault="00344D5B" w:rsidP="002523A0">
      <w:pPr>
        <w:rPr>
          <w:lang w:val="en-GB"/>
        </w:rPr>
      </w:pPr>
    </w:p>
    <w:p w:rsidR="002523A0" w:rsidRPr="0075608E" w:rsidRDefault="002523A0" w:rsidP="002523A0">
      <w:pPr>
        <w:rPr>
          <w:lang w:val="en-GB"/>
        </w:rPr>
      </w:pPr>
    </w:p>
    <w:p w:rsidR="002523A0" w:rsidRPr="0075608E" w:rsidRDefault="002523A0" w:rsidP="002523A0">
      <w:pPr>
        <w:spacing w:after="100"/>
        <w:jc w:val="center"/>
        <w:rPr>
          <w:lang w:val="en-GB"/>
        </w:rPr>
      </w:pPr>
      <w:r w:rsidRPr="0075608E">
        <w:rPr>
          <w:rFonts w:ascii="Arial" w:eastAsia="Arial" w:hAnsi="Arial" w:cs="Arial"/>
          <w:b/>
          <w:sz w:val="16"/>
          <w:lang w:val="en-GB"/>
        </w:rPr>
        <w:t>TABLE</w:t>
      </w:r>
      <w:r w:rsidRPr="0075608E">
        <w:rPr>
          <w:rFonts w:ascii="Arial" w:eastAsia="Arial" w:hAnsi="Arial" w:cs="Arial"/>
          <w:sz w:val="16"/>
          <w:lang w:val="en-GB"/>
        </w:rPr>
        <w:t xml:space="preserve"> 4: Anhui Jinhe's revenue in 2022 by product, million USD</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20" w:type="dxa"/>
          <w:left w:w="120" w:type="dxa"/>
          <w:bottom w:w="120" w:type="dxa"/>
          <w:right w:w="120" w:type="dxa"/>
        </w:tblCellMar>
        <w:tblLook w:val="04A0" w:firstRow="1" w:lastRow="0" w:firstColumn="1" w:lastColumn="0" w:noHBand="0" w:noVBand="1"/>
      </w:tblPr>
      <w:tblGrid>
        <w:gridCol w:w="3888"/>
        <w:gridCol w:w="907"/>
        <w:gridCol w:w="1617"/>
        <w:gridCol w:w="907"/>
        <w:gridCol w:w="1617"/>
        <w:gridCol w:w="943"/>
      </w:tblGrid>
      <w:tr w:rsidR="002523A0" w:rsidRPr="0075608E" w:rsidTr="00BB2703">
        <w:trPr>
          <w:trHeight w:val="256"/>
          <w:jc w:val="center"/>
        </w:trPr>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Product</w:t>
            </w:r>
          </w:p>
        </w:tc>
        <w:tc>
          <w:tcPr>
            <w:tcW w:w="0" w:type="auto"/>
            <w:gridSpan w:val="2"/>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2022</w:t>
            </w:r>
          </w:p>
        </w:tc>
        <w:tc>
          <w:tcPr>
            <w:tcW w:w="0" w:type="auto"/>
            <w:gridSpan w:val="2"/>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2021</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YoY change</w:t>
            </w:r>
          </w:p>
        </w:tc>
      </w:tr>
      <w:tr w:rsidR="002523A0" w:rsidRPr="0075608E" w:rsidTr="00BB2703">
        <w:trPr>
          <w:trHeight w:val="256"/>
          <w:jc w:val="center"/>
        </w:trPr>
        <w:tc>
          <w:tcPr>
            <w:tcW w:w="0" w:type="auto"/>
            <w:vMerge/>
          </w:tcPr>
          <w:p w:rsidR="002523A0" w:rsidRPr="0075608E" w:rsidRDefault="002523A0" w:rsidP="00BB2703">
            <w:pPr>
              <w:rPr>
                <w:lang w:val="en-GB"/>
              </w:rPr>
            </w:pP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Revenue</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Percentage of total revenue</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Revenue</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Percentage of total revenue</w:t>
            </w:r>
          </w:p>
        </w:tc>
        <w:tc>
          <w:tcPr>
            <w:tcW w:w="0" w:type="auto"/>
            <w:vMerge/>
          </w:tcPr>
          <w:p w:rsidR="002523A0" w:rsidRPr="0075608E" w:rsidRDefault="002523A0" w:rsidP="00BB2703">
            <w:pPr>
              <w:rPr>
                <w:lang w:val="en-GB"/>
              </w:rPr>
            </w:pP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Food additives: acesulfame-K, sucralose, methyl/ethyl maltol, methyl cyclopentenolone, galaxolide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660.03</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62.86%</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438.65</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51.82%</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50.47%</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Bulk chemicals: liquid ammonia, hydrogen peroxide, melamine, sulphuric acid, nitric acid</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297.37</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28.32%</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308.87</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36.49%</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-3.72%</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Functional chemicals and intermediates: diketene, thionyl chloride, etc.</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31.23</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2.97%</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31.54</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3.73%</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-0.98%</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Pharmaceutical intermediates: furan ammonium salt</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11.99</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1.14%</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15.99</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1.89%</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-24.97%</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Electricity</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21.61</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2.06%</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22.04</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2.60%</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-1.97%</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Others</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27.74</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2.64%</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29.39</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3.47%</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-5.62%</w:t>
            </w:r>
          </w:p>
        </w:tc>
      </w:tr>
      <w:tr w:rsidR="002523A0" w:rsidRPr="0075608E" w:rsidTr="00BB2703">
        <w:trPr>
          <w:jc w:val="center"/>
        </w:trPr>
        <w:tc>
          <w:tcPr>
            <w:tcW w:w="0" w:type="auto"/>
            <w:gridSpan w:val="6"/>
            <w:tcBorders>
              <w:left w:val="nil"/>
              <w:bottom w:val="nil"/>
              <w:right w:val="nil"/>
            </w:tcBorders>
          </w:tcPr>
          <w:p w:rsidR="002523A0" w:rsidRPr="0075608E" w:rsidRDefault="002523A0" w:rsidP="00BB2703">
            <w:pPr>
              <w:rPr>
                <w:lang w:val="en-GB"/>
              </w:rPr>
            </w:pPr>
            <w:r w:rsidRPr="0075608E">
              <w:rPr>
                <w:rFonts w:ascii="Arial" w:eastAsia="Arial" w:hAnsi="Arial" w:cs="Arial"/>
                <w:i/>
                <w:sz w:val="16"/>
                <w:lang w:val="en-GB"/>
              </w:rPr>
              <w:t>Source: Anhui Jinhe</w:t>
            </w:r>
          </w:p>
        </w:tc>
      </w:tr>
    </w:tbl>
    <w:p w:rsidR="002523A0" w:rsidRPr="0075608E" w:rsidRDefault="002523A0" w:rsidP="002523A0">
      <w:pPr>
        <w:rPr>
          <w:lang w:val="en-GB"/>
        </w:rPr>
      </w:pPr>
    </w:p>
    <w:p w:rsidR="002523A0" w:rsidRPr="0075608E" w:rsidRDefault="002523A0" w:rsidP="002523A0">
      <w:pPr>
        <w:spacing w:after="100"/>
        <w:jc w:val="center"/>
        <w:rPr>
          <w:lang w:val="en-GB"/>
        </w:rPr>
      </w:pPr>
      <w:r w:rsidRPr="0075608E">
        <w:rPr>
          <w:rFonts w:ascii="Arial" w:eastAsia="Arial" w:hAnsi="Arial" w:cs="Arial"/>
          <w:b/>
          <w:sz w:val="16"/>
          <w:lang w:val="en-GB"/>
        </w:rPr>
        <w:t>TABLE</w:t>
      </w:r>
      <w:r w:rsidRPr="0075608E">
        <w:rPr>
          <w:rFonts w:ascii="Arial" w:eastAsia="Arial" w:hAnsi="Arial" w:cs="Arial"/>
          <w:sz w:val="16"/>
          <w:lang w:val="en-GB"/>
        </w:rPr>
        <w:t xml:space="preserve"> 5: Anhui Jinhe's sales, output and inventory by industry</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20" w:type="dxa"/>
          <w:left w:w="120" w:type="dxa"/>
          <w:bottom w:w="120" w:type="dxa"/>
          <w:right w:w="120" w:type="dxa"/>
        </w:tblCellMar>
        <w:tblLook w:val="04A0" w:firstRow="1" w:lastRow="0" w:firstColumn="1" w:lastColumn="0" w:noHBand="0" w:noVBand="1"/>
      </w:tblPr>
      <w:tblGrid>
        <w:gridCol w:w="1397"/>
        <w:gridCol w:w="1376"/>
        <w:gridCol w:w="952"/>
        <w:gridCol w:w="952"/>
        <w:gridCol w:w="1142"/>
      </w:tblGrid>
      <w:tr w:rsidR="002523A0" w:rsidRPr="0075608E" w:rsidTr="00BB2703">
        <w:trPr>
          <w:trHeight w:val="256"/>
          <w:jc w:val="center"/>
        </w:trPr>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Industry</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Item</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2022</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2021</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YoY change</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Food production</w:t>
            </w:r>
          </w:p>
        </w:tc>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Sales, tonne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35,530.52</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31,226.51</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13.78%</w:t>
            </w:r>
          </w:p>
        </w:tc>
      </w:tr>
      <w:tr w:rsidR="002523A0" w:rsidRPr="0075608E" w:rsidTr="00BB2703">
        <w:trPr>
          <w:trHeight w:val="256"/>
          <w:jc w:val="center"/>
        </w:trPr>
        <w:tc>
          <w:tcPr>
            <w:tcW w:w="0" w:type="auto"/>
            <w:vMerge/>
          </w:tcPr>
          <w:p w:rsidR="002523A0" w:rsidRPr="0075608E" w:rsidRDefault="002523A0" w:rsidP="00BB2703">
            <w:pPr>
              <w:rPr>
                <w:lang w:val="en-GB"/>
              </w:rPr>
            </w:pPr>
          </w:p>
        </w:tc>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Output, tonne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35,728.13</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29,585.95</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20.76%</w:t>
            </w:r>
          </w:p>
        </w:tc>
      </w:tr>
      <w:tr w:rsidR="002523A0" w:rsidRPr="0075608E" w:rsidTr="00BB2703">
        <w:trPr>
          <w:trHeight w:val="256"/>
          <w:jc w:val="center"/>
        </w:trPr>
        <w:tc>
          <w:tcPr>
            <w:tcW w:w="0" w:type="auto"/>
            <w:vMerge/>
          </w:tcPr>
          <w:p w:rsidR="002523A0" w:rsidRPr="0075608E" w:rsidRDefault="002523A0" w:rsidP="00BB2703">
            <w:pPr>
              <w:rPr>
                <w:lang w:val="en-GB"/>
              </w:rPr>
            </w:pPr>
          </w:p>
        </w:tc>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Inventory, tonne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3,362.68</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3,165.07</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6.24%</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Basic chemical</w:t>
            </w:r>
          </w:p>
        </w:tc>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Sales, tonne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1,291,200</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1,352,100</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-4.50%</w:t>
            </w:r>
          </w:p>
        </w:tc>
      </w:tr>
      <w:tr w:rsidR="002523A0" w:rsidRPr="0075608E" w:rsidTr="00BB2703">
        <w:trPr>
          <w:trHeight w:val="256"/>
          <w:jc w:val="center"/>
        </w:trPr>
        <w:tc>
          <w:tcPr>
            <w:tcW w:w="0" w:type="auto"/>
            <w:vMerge/>
          </w:tcPr>
          <w:p w:rsidR="002523A0" w:rsidRPr="0075608E" w:rsidRDefault="002523A0" w:rsidP="00BB2703">
            <w:pPr>
              <w:rPr>
                <w:lang w:val="en-GB"/>
              </w:rPr>
            </w:pPr>
          </w:p>
        </w:tc>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Output, tonne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1,299,800</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1,350,800</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-3.78%</w:t>
            </w:r>
          </w:p>
        </w:tc>
      </w:tr>
      <w:tr w:rsidR="002523A0" w:rsidRPr="0075608E" w:rsidTr="00BB2703">
        <w:trPr>
          <w:trHeight w:val="256"/>
          <w:jc w:val="center"/>
        </w:trPr>
        <w:tc>
          <w:tcPr>
            <w:tcW w:w="0" w:type="auto"/>
            <w:vMerge/>
          </w:tcPr>
          <w:p w:rsidR="002523A0" w:rsidRPr="0075608E" w:rsidRDefault="002523A0" w:rsidP="00BB2703">
            <w:pPr>
              <w:rPr>
                <w:lang w:val="en-GB"/>
              </w:rPr>
            </w:pPr>
          </w:p>
        </w:tc>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Inventory, tonne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32,100</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23,500</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36.60%</w:t>
            </w:r>
          </w:p>
        </w:tc>
      </w:tr>
      <w:tr w:rsidR="002523A0" w:rsidRPr="0075608E" w:rsidTr="00BB2703">
        <w:trPr>
          <w:jc w:val="center"/>
        </w:trPr>
        <w:tc>
          <w:tcPr>
            <w:tcW w:w="0" w:type="auto"/>
            <w:gridSpan w:val="5"/>
            <w:tcBorders>
              <w:left w:val="nil"/>
              <w:bottom w:val="nil"/>
              <w:right w:val="nil"/>
            </w:tcBorders>
          </w:tcPr>
          <w:p w:rsidR="002523A0" w:rsidRPr="0075608E" w:rsidRDefault="002523A0" w:rsidP="00BB2703">
            <w:pPr>
              <w:rPr>
                <w:lang w:val="en-GB"/>
              </w:rPr>
            </w:pPr>
            <w:r w:rsidRPr="0075608E">
              <w:rPr>
                <w:rFonts w:ascii="Arial" w:eastAsia="Arial" w:hAnsi="Arial" w:cs="Arial"/>
                <w:i/>
                <w:sz w:val="16"/>
                <w:lang w:val="en-GB"/>
              </w:rPr>
              <w:t>Source: Anhui Jinhe</w:t>
            </w:r>
          </w:p>
        </w:tc>
      </w:tr>
    </w:tbl>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b/>
          <w:sz w:val="20"/>
          <w:lang w:val="en-GB"/>
        </w:rPr>
        <w:t>Business performance by product</w:t>
      </w:r>
    </w:p>
    <w:p w:rsidR="002523A0" w:rsidRPr="0075608E" w:rsidRDefault="002523A0" w:rsidP="002523A0">
      <w:pPr>
        <w:rPr>
          <w:lang w:val="en-GB"/>
        </w:rPr>
      </w:pPr>
      <w:r w:rsidRPr="0075608E">
        <w:rPr>
          <w:rFonts w:ascii="Arial" w:eastAsia="Arial" w:hAnsi="Arial" w:cs="Arial"/>
          <w:sz w:val="20"/>
          <w:lang w:val="en-GB"/>
        </w:rPr>
        <w:t>Food additives: Through market research, Anhui Jinhe made timely adjustments to the product strategy for food additives according to the market competition situation, continuously explored new markets, expanded the sales channels for end customers and areas where markets are thin and strengthened the management of distributors (</w:t>
      </w:r>
      <w:r w:rsidR="0075608E">
        <w:rPr>
          <w:rFonts w:ascii="Arial" w:hAnsi="Arial" w:cs="Arial" w:hint="eastAsia"/>
          <w:sz w:val="20"/>
          <w:lang w:val="en-GB"/>
        </w:rPr>
        <w:t>i</w:t>
      </w:r>
      <w:r w:rsidRPr="0075608E">
        <w:rPr>
          <w:rFonts w:ascii="Arial" w:eastAsia="Arial" w:hAnsi="Arial" w:cs="Arial"/>
          <w:sz w:val="20"/>
          <w:lang w:val="en-GB"/>
        </w:rPr>
        <w:t>ts revenues from direct sales and indirect sales in 2022 accounted for 45.01% and 54.99%, respectively), which further increased its market share. Moreover, it improved its current sales structure, merged sales areas and grew its sales team. During the reporting period, sales volume and benefits of food additive products reached new highs.</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Bulk chemicals: Anhui Jinh</w:t>
      </w:r>
      <w:r w:rsidR="0075608E">
        <w:rPr>
          <w:rFonts w:ascii="Arial" w:hAnsi="Arial" w:cs="Arial" w:hint="eastAsia"/>
          <w:sz w:val="20"/>
          <w:lang w:val="en-GB"/>
        </w:rPr>
        <w:t>e</w:t>
      </w:r>
      <w:r w:rsidRPr="0075608E">
        <w:rPr>
          <w:rFonts w:ascii="Arial" w:eastAsia="Arial" w:hAnsi="Arial" w:cs="Arial"/>
          <w:sz w:val="20"/>
          <w:lang w:val="en-GB"/>
        </w:rPr>
        <w:t>'s profitability of this segment declined slightly as the selling prices of some bulk chemicals fell in H2 2022 due to the downward pressure on the economy. Anhui Jinhe further expanded its market by giving play to its location advantages and reformed the incentive mechanism for the operation of the basic chemicals business, thus ensuring the release of production capacity and its market share.</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b/>
          <w:sz w:val="20"/>
          <w:lang w:val="en-GB"/>
        </w:rPr>
        <w:t>Plans and protection for intellectual property rights</w:t>
      </w:r>
    </w:p>
    <w:p w:rsidR="002523A0" w:rsidRPr="0075608E" w:rsidRDefault="002523A0" w:rsidP="002523A0">
      <w:pPr>
        <w:rPr>
          <w:lang w:val="en-GB"/>
        </w:rPr>
      </w:pPr>
      <w:r w:rsidRPr="0075608E">
        <w:rPr>
          <w:rFonts w:ascii="Arial" w:eastAsia="Arial" w:hAnsi="Arial" w:cs="Arial"/>
          <w:sz w:val="20"/>
          <w:lang w:val="en-GB"/>
        </w:rPr>
        <w:t xml:space="preserve">In 2022, Anhui Jinhe was granted 66 patents, including 59 invention patents, 6 utility model patents and 1 design patent. By the end of the reporting period, the company had obtained 221 patents in total, including 157 invention patents, 63 utility model patents and 1 design patent. At the same time, Anhui Jinhe now has </w:t>
      </w:r>
      <w:r w:rsidRPr="0075608E">
        <w:rPr>
          <w:rFonts w:ascii="Arial" w:eastAsia="Arial" w:hAnsi="Arial" w:cs="Arial"/>
          <w:sz w:val="20"/>
          <w:lang w:val="en-GB"/>
        </w:rPr>
        <w:lastRenderedPageBreak/>
        <w:t>213 domestic patents and 53 international patents that are under examination.</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b/>
          <w:sz w:val="20"/>
          <w:lang w:val="en-GB"/>
        </w:rPr>
        <w:t>Project updates</w:t>
      </w:r>
    </w:p>
    <w:p w:rsidR="002523A0" w:rsidRPr="0075608E" w:rsidRDefault="002523A0" w:rsidP="002523A0">
      <w:pPr>
        <w:rPr>
          <w:lang w:val="en-GB"/>
        </w:rPr>
      </w:pPr>
      <w:r w:rsidRPr="0075608E">
        <w:rPr>
          <w:rFonts w:ascii="Arial" w:eastAsia="Arial" w:hAnsi="Arial" w:cs="Arial"/>
          <w:sz w:val="20"/>
          <w:lang w:val="en-GB"/>
        </w:rPr>
        <w:t>Anhui Jinhe has established an industrial chain that integrates the production of its core product sucralose and the related upstream products as the 30,000 t/a N,N-Dimethylformamide (DMF) and methylamine project and the thionyl chloride Phase II project with an annual output of 40,000 tonnes carried out by its subsidiary Anhui Jinxuan Science and Technology Co., Ltd. (Jinxuan Science and Technology) entered the production phase. Besides, the 1,000 t/a allulose trial production project was constructed and entered the production phase in 2022. The 5,000 t/a methyl/ethyl maltol project conducted by its subsidiary Chuzhou Jinwo Biotechnology Co., Ltd. started trial production in March 2022 and this project had reached the design capacity by the end of the reporting period.</w:t>
      </w:r>
    </w:p>
    <w:p w:rsidR="002523A0" w:rsidRPr="0075608E" w:rsidRDefault="002523A0" w:rsidP="002523A0">
      <w:pPr>
        <w:rPr>
          <w:lang w:val="en-GB"/>
        </w:rPr>
      </w:pPr>
    </w:p>
    <w:p w:rsidR="002523A0" w:rsidRPr="0075608E" w:rsidRDefault="002523A0" w:rsidP="002523A0">
      <w:pPr>
        <w:spacing w:after="100"/>
        <w:jc w:val="center"/>
        <w:rPr>
          <w:lang w:val="en-GB"/>
        </w:rPr>
      </w:pPr>
      <w:r w:rsidRPr="0075608E">
        <w:rPr>
          <w:rFonts w:ascii="Arial" w:eastAsia="Arial" w:hAnsi="Arial" w:cs="Arial"/>
          <w:b/>
          <w:sz w:val="16"/>
          <w:lang w:val="en-GB"/>
        </w:rPr>
        <w:t>TABLE</w:t>
      </w:r>
      <w:r w:rsidRPr="0075608E">
        <w:rPr>
          <w:rFonts w:ascii="Arial" w:eastAsia="Arial" w:hAnsi="Arial" w:cs="Arial"/>
          <w:sz w:val="16"/>
          <w:lang w:val="en-GB"/>
        </w:rPr>
        <w:t xml:space="preserve"> 6: Anhui Jinhe's projects</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20" w:type="dxa"/>
          <w:left w:w="120" w:type="dxa"/>
          <w:bottom w:w="120" w:type="dxa"/>
          <w:right w:w="120" w:type="dxa"/>
        </w:tblCellMar>
        <w:tblLook w:val="04A0" w:firstRow="1" w:lastRow="0" w:firstColumn="1" w:lastColumn="0" w:noHBand="0" w:noVBand="1"/>
      </w:tblPr>
      <w:tblGrid>
        <w:gridCol w:w="2966"/>
        <w:gridCol w:w="2362"/>
        <w:gridCol w:w="3617"/>
        <w:gridCol w:w="934"/>
      </w:tblGrid>
      <w:tr w:rsidR="002523A0" w:rsidRPr="0075608E" w:rsidTr="00BB2703">
        <w:trPr>
          <w:trHeight w:val="256"/>
          <w:jc w:val="center"/>
        </w:trPr>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Project</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Proposed investment, million USD</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Invested amount as a percentage of proposed investment</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Progress</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5,000 t/a sucralose technology upgrading project</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14.16</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42.96%</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50%</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3,000 t/a sucralose technology upgrading project</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2.87</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41.19%</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50%</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Circular Economy Industrial Park (Phase II)</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1,433.66</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0.03%</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5,000 t/a sucralose project</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125.17</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99.29%</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100%</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Circular Economy Industrial Park (Phase I)</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124.81</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49.63%</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100%</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5,000 t/a methyl/ethyl maltol project</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82.36</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36.06%</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100%</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30,000 t/a DMF and methylamine project</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17.38</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99.95%</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100%</w:t>
            </w:r>
          </w:p>
        </w:tc>
      </w:tr>
      <w:tr w:rsidR="002523A0" w:rsidRPr="0075608E" w:rsidTr="00BB2703">
        <w:trPr>
          <w:jc w:val="center"/>
        </w:trPr>
        <w:tc>
          <w:tcPr>
            <w:tcW w:w="0" w:type="auto"/>
            <w:gridSpan w:val="4"/>
            <w:tcBorders>
              <w:left w:val="nil"/>
              <w:bottom w:val="nil"/>
              <w:right w:val="nil"/>
            </w:tcBorders>
          </w:tcPr>
          <w:p w:rsidR="002523A0" w:rsidRPr="0075608E" w:rsidRDefault="002523A0" w:rsidP="00BB2703">
            <w:pPr>
              <w:rPr>
                <w:lang w:val="en-GB"/>
              </w:rPr>
            </w:pPr>
            <w:r w:rsidRPr="0075608E">
              <w:rPr>
                <w:rFonts w:ascii="Arial" w:eastAsia="Arial" w:hAnsi="Arial" w:cs="Arial"/>
                <w:i/>
                <w:sz w:val="16"/>
                <w:lang w:val="en-GB"/>
              </w:rPr>
              <w:t>Source: Anhui Jinhe</w:t>
            </w:r>
          </w:p>
        </w:tc>
      </w:tr>
    </w:tbl>
    <w:p w:rsidR="002523A0" w:rsidRPr="0075608E" w:rsidRDefault="002523A0" w:rsidP="002523A0">
      <w:pPr>
        <w:rPr>
          <w:lang w:val="en-GB"/>
        </w:rPr>
      </w:pPr>
    </w:p>
    <w:p w:rsidR="002523A0" w:rsidRPr="0075608E" w:rsidRDefault="002523A0" w:rsidP="002523A0">
      <w:pPr>
        <w:pStyle w:val="2"/>
        <w:spacing w:before="0" w:after="0" w:line="360" w:lineRule="auto"/>
        <w:jc w:val="center"/>
        <w:rPr>
          <w:lang w:val="en-GB"/>
        </w:rPr>
      </w:pPr>
      <w:bookmarkStart w:id="5" w:name="_Toc136437665"/>
      <w:r w:rsidRPr="0075608E">
        <w:rPr>
          <w:rFonts w:ascii="Arial" w:eastAsia="Arial" w:hAnsi="Arial" w:cs="Arial"/>
          <w:sz w:val="20"/>
          <w:lang w:val="en-GB"/>
        </w:rPr>
        <w:t>Revenue and net profit at Sanyuan Biology and BLB tumble amid rising competition in erythritol industry</w:t>
      </w:r>
      <w:bookmarkStart w:id="6" w:name="_Toc106"/>
      <w:bookmarkEnd w:id="5"/>
      <w:bookmarkEnd w:id="6"/>
    </w:p>
    <w:p w:rsidR="002523A0" w:rsidRPr="0075608E" w:rsidRDefault="002523A0" w:rsidP="002523A0">
      <w:pPr>
        <w:rPr>
          <w:lang w:val="en-GB"/>
        </w:rPr>
      </w:pPr>
      <w:r w:rsidRPr="0075608E">
        <w:rPr>
          <w:rFonts w:ascii="Arial" w:eastAsia="Arial" w:hAnsi="Arial" w:cs="Arial"/>
          <w:sz w:val="20"/>
          <w:lang w:val="en-GB"/>
        </w:rPr>
        <w:t>Summary: Sanyuan Biology and BLB, two major erythritol producers, reported revenue and net profit declines in 2022 carried into the first quarter of 2023.</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In 2022, Baolingbao Biology Co., Ltd. (BLB)'s revenue sank 1.89% to USD392.84 million (RMB2.71 billion) and the net profit attributable to shareholders of the listed company dropped 33.94% to USD19.28 million (RMB133.17 million). The significant decrease in net profit was mostly because the selling prices of some competitive products like erythritol fell from the previous year due to a mismatch between supply and demand.</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BLB's revenue and net profit declines continued through Q1 2023, with revenue down 7.22% YoY to USD88.38 million (RMB610.27 million) and the net profit attributable to shareholders of the listed company falling 60.09% YoY to USD2.47 million (RMB17.05 million).</w:t>
      </w:r>
    </w:p>
    <w:p w:rsidR="002523A0" w:rsidRPr="0075608E" w:rsidRDefault="002523A0" w:rsidP="002523A0">
      <w:pPr>
        <w:ind w:left="350"/>
        <w:rPr>
          <w:lang w:val="en-GB"/>
        </w:rPr>
      </w:pPr>
      <w:r w:rsidRPr="0075608E">
        <w:rPr>
          <w:rFonts w:ascii="Arial" w:eastAsia="Arial" w:hAnsi="Arial" w:cs="Arial"/>
          <w:sz w:val="20"/>
          <w:lang w:val="en-GB"/>
        </w:rPr>
        <w:t>● The sales volume and selling price of erythritol dropped slightly compared to the year-ago quarter.</w:t>
      </w:r>
    </w:p>
    <w:p w:rsidR="002523A0" w:rsidRPr="0075608E" w:rsidRDefault="002523A0" w:rsidP="002523A0">
      <w:pPr>
        <w:ind w:left="350"/>
        <w:rPr>
          <w:lang w:val="en-GB"/>
        </w:rPr>
      </w:pPr>
      <w:r w:rsidRPr="0075608E">
        <w:rPr>
          <w:rFonts w:ascii="Arial" w:eastAsia="Arial" w:hAnsi="Arial" w:cs="Arial"/>
          <w:sz w:val="20"/>
          <w:lang w:val="en-GB"/>
        </w:rPr>
        <w:t>● Prices of raw and auxiliary materials such as corn and white granulated sugar went up.</w:t>
      </w:r>
    </w:p>
    <w:p w:rsidR="002523A0" w:rsidRPr="0075608E" w:rsidRDefault="002523A0" w:rsidP="002523A0">
      <w:pPr>
        <w:ind w:left="350"/>
        <w:rPr>
          <w:lang w:val="en-GB"/>
        </w:rPr>
      </w:pPr>
      <w:r w:rsidRPr="0075608E">
        <w:rPr>
          <w:rFonts w:ascii="Arial" w:eastAsia="Arial" w:hAnsi="Arial" w:cs="Arial"/>
          <w:sz w:val="20"/>
          <w:lang w:val="en-GB"/>
        </w:rPr>
        <w:t>● Export orders were reduced as overseas demand fell.</w:t>
      </w:r>
    </w:p>
    <w:p w:rsidR="002523A0" w:rsidRPr="0075608E" w:rsidRDefault="002523A0" w:rsidP="002523A0">
      <w:pPr>
        <w:rPr>
          <w:lang w:val="en-GB"/>
        </w:rPr>
      </w:pPr>
    </w:p>
    <w:p w:rsidR="00344D5B" w:rsidRPr="0075608E" w:rsidRDefault="00344D5B" w:rsidP="002523A0">
      <w:pPr>
        <w:rPr>
          <w:lang w:val="en-GB"/>
        </w:rPr>
      </w:pPr>
    </w:p>
    <w:p w:rsidR="00344D5B" w:rsidRPr="0075608E" w:rsidRDefault="00344D5B" w:rsidP="002523A0">
      <w:pPr>
        <w:rPr>
          <w:lang w:val="en-GB"/>
        </w:rPr>
      </w:pPr>
    </w:p>
    <w:p w:rsidR="00344D5B" w:rsidRPr="0075608E" w:rsidRDefault="00344D5B" w:rsidP="002523A0">
      <w:pPr>
        <w:rPr>
          <w:lang w:val="en-GB"/>
        </w:rPr>
      </w:pPr>
    </w:p>
    <w:p w:rsidR="00344D5B" w:rsidRPr="0075608E" w:rsidRDefault="00344D5B" w:rsidP="002523A0">
      <w:pPr>
        <w:rPr>
          <w:lang w:val="en-GB"/>
        </w:rPr>
      </w:pPr>
    </w:p>
    <w:p w:rsidR="00344D5B" w:rsidRPr="0075608E" w:rsidRDefault="00344D5B" w:rsidP="002523A0">
      <w:pPr>
        <w:rPr>
          <w:lang w:val="en-GB"/>
        </w:rPr>
      </w:pPr>
    </w:p>
    <w:p w:rsidR="00344D5B" w:rsidRPr="0075608E" w:rsidRDefault="00344D5B" w:rsidP="002523A0">
      <w:pPr>
        <w:rPr>
          <w:lang w:val="en-GB"/>
        </w:rPr>
      </w:pPr>
    </w:p>
    <w:p w:rsidR="002523A0" w:rsidRPr="0075608E" w:rsidRDefault="002523A0" w:rsidP="002523A0">
      <w:pPr>
        <w:spacing w:after="100"/>
        <w:jc w:val="center"/>
        <w:rPr>
          <w:lang w:val="en-GB"/>
        </w:rPr>
      </w:pPr>
      <w:r w:rsidRPr="0075608E">
        <w:rPr>
          <w:rFonts w:ascii="Arial" w:eastAsia="Arial" w:hAnsi="Arial" w:cs="Arial"/>
          <w:b/>
          <w:sz w:val="16"/>
          <w:lang w:val="en-GB"/>
        </w:rPr>
        <w:lastRenderedPageBreak/>
        <w:t>TABLE</w:t>
      </w:r>
      <w:r w:rsidRPr="0075608E">
        <w:rPr>
          <w:rFonts w:ascii="Arial" w:eastAsia="Arial" w:hAnsi="Arial" w:cs="Arial"/>
          <w:sz w:val="16"/>
          <w:lang w:val="en-GB"/>
        </w:rPr>
        <w:t xml:space="preserve"> 7: BLB's revenue in 2022 by product, million USD</w:t>
      </w:r>
    </w:p>
    <w:tbl>
      <w:tblPr>
        <w:tblW w:w="9483"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20" w:type="dxa"/>
          <w:left w:w="120" w:type="dxa"/>
          <w:bottom w:w="120" w:type="dxa"/>
          <w:right w:w="120" w:type="dxa"/>
        </w:tblCellMar>
        <w:tblLook w:val="04A0" w:firstRow="1" w:lastRow="0" w:firstColumn="1" w:lastColumn="0" w:noHBand="0" w:noVBand="1"/>
      </w:tblPr>
      <w:tblGrid>
        <w:gridCol w:w="1226"/>
        <w:gridCol w:w="2580"/>
        <w:gridCol w:w="907"/>
        <w:gridCol w:w="1468"/>
        <w:gridCol w:w="907"/>
        <w:gridCol w:w="1401"/>
        <w:gridCol w:w="994"/>
      </w:tblGrid>
      <w:tr w:rsidR="002523A0" w:rsidRPr="0075608E" w:rsidTr="00344D5B">
        <w:trPr>
          <w:trHeight w:val="256"/>
          <w:jc w:val="center"/>
        </w:trPr>
        <w:tc>
          <w:tcPr>
            <w:tcW w:w="3806" w:type="dxa"/>
            <w:gridSpan w:val="2"/>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 xml:space="preserve">Product　</w:t>
            </w:r>
          </w:p>
        </w:tc>
        <w:tc>
          <w:tcPr>
            <w:tcW w:w="2375" w:type="dxa"/>
            <w:gridSpan w:val="2"/>
            <w:vAlign w:val="center"/>
          </w:tcPr>
          <w:p w:rsidR="002523A0" w:rsidRPr="0075608E" w:rsidRDefault="002523A0" w:rsidP="00BB2703">
            <w:pPr>
              <w:jc w:val="center"/>
              <w:rPr>
                <w:lang w:val="en-GB"/>
              </w:rPr>
            </w:pPr>
            <w:r w:rsidRPr="0075608E">
              <w:rPr>
                <w:rFonts w:ascii="Arial" w:eastAsia="Arial" w:hAnsi="Arial" w:cs="Arial"/>
                <w:b/>
                <w:sz w:val="16"/>
                <w:lang w:val="en-GB"/>
              </w:rPr>
              <w:t>2022</w:t>
            </w:r>
          </w:p>
        </w:tc>
        <w:tc>
          <w:tcPr>
            <w:tcW w:w="2308" w:type="dxa"/>
            <w:gridSpan w:val="2"/>
            <w:vAlign w:val="center"/>
          </w:tcPr>
          <w:p w:rsidR="002523A0" w:rsidRPr="0075608E" w:rsidRDefault="002523A0" w:rsidP="00BB2703">
            <w:pPr>
              <w:jc w:val="center"/>
              <w:rPr>
                <w:lang w:val="en-GB"/>
              </w:rPr>
            </w:pPr>
            <w:r w:rsidRPr="0075608E">
              <w:rPr>
                <w:rFonts w:ascii="Arial" w:eastAsia="Arial" w:hAnsi="Arial" w:cs="Arial"/>
                <w:b/>
                <w:sz w:val="16"/>
                <w:lang w:val="en-GB"/>
              </w:rPr>
              <w:t>2021</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YoY change</w:t>
            </w:r>
          </w:p>
        </w:tc>
      </w:tr>
      <w:tr w:rsidR="002523A0" w:rsidRPr="0075608E" w:rsidTr="00344D5B">
        <w:trPr>
          <w:trHeight w:val="256"/>
          <w:jc w:val="center"/>
        </w:trPr>
        <w:tc>
          <w:tcPr>
            <w:tcW w:w="3806" w:type="dxa"/>
            <w:gridSpan w:val="2"/>
            <w:vMerge/>
          </w:tcPr>
          <w:p w:rsidR="002523A0" w:rsidRPr="0075608E" w:rsidRDefault="002523A0" w:rsidP="00BB2703">
            <w:pPr>
              <w:rPr>
                <w:lang w:val="en-GB"/>
              </w:rPr>
            </w:pPr>
          </w:p>
        </w:tc>
        <w:tc>
          <w:tcPr>
            <w:tcW w:w="0" w:type="auto"/>
            <w:vAlign w:val="center"/>
          </w:tcPr>
          <w:p w:rsidR="002523A0" w:rsidRPr="0075608E" w:rsidRDefault="002523A0" w:rsidP="00BB2703">
            <w:pPr>
              <w:jc w:val="center"/>
              <w:rPr>
                <w:lang w:val="en-GB"/>
              </w:rPr>
            </w:pPr>
            <w:r w:rsidRPr="0075608E">
              <w:rPr>
                <w:rFonts w:ascii="Arial" w:eastAsia="Arial" w:hAnsi="Arial" w:cs="Arial"/>
                <w:b/>
                <w:sz w:val="16"/>
                <w:lang w:val="en-GB"/>
              </w:rPr>
              <w:t>Revenue</w:t>
            </w:r>
          </w:p>
        </w:tc>
        <w:tc>
          <w:tcPr>
            <w:tcW w:w="1468" w:type="dxa"/>
            <w:vAlign w:val="center"/>
          </w:tcPr>
          <w:p w:rsidR="002523A0" w:rsidRPr="0075608E" w:rsidRDefault="002523A0" w:rsidP="00BB2703">
            <w:pPr>
              <w:jc w:val="center"/>
              <w:rPr>
                <w:lang w:val="en-GB"/>
              </w:rPr>
            </w:pPr>
            <w:r w:rsidRPr="0075608E">
              <w:rPr>
                <w:rFonts w:ascii="Arial" w:eastAsia="Arial" w:hAnsi="Arial" w:cs="Arial"/>
                <w:b/>
                <w:sz w:val="16"/>
                <w:lang w:val="en-GB"/>
              </w:rPr>
              <w:t>Percentage of total revenue</w:t>
            </w:r>
          </w:p>
        </w:tc>
        <w:tc>
          <w:tcPr>
            <w:tcW w:w="0" w:type="auto"/>
            <w:vAlign w:val="center"/>
          </w:tcPr>
          <w:p w:rsidR="002523A0" w:rsidRPr="0075608E" w:rsidRDefault="002523A0" w:rsidP="00BB2703">
            <w:pPr>
              <w:jc w:val="center"/>
              <w:rPr>
                <w:lang w:val="en-GB"/>
              </w:rPr>
            </w:pPr>
            <w:r w:rsidRPr="0075608E">
              <w:rPr>
                <w:rFonts w:ascii="Arial" w:eastAsia="Arial" w:hAnsi="Arial" w:cs="Arial"/>
                <w:b/>
                <w:sz w:val="16"/>
                <w:lang w:val="en-GB"/>
              </w:rPr>
              <w:t>Revenue</w:t>
            </w:r>
          </w:p>
        </w:tc>
        <w:tc>
          <w:tcPr>
            <w:tcW w:w="1401" w:type="dxa"/>
            <w:vAlign w:val="center"/>
          </w:tcPr>
          <w:p w:rsidR="002523A0" w:rsidRPr="0075608E" w:rsidRDefault="002523A0" w:rsidP="00BB2703">
            <w:pPr>
              <w:jc w:val="center"/>
              <w:rPr>
                <w:lang w:val="en-GB"/>
              </w:rPr>
            </w:pPr>
            <w:r w:rsidRPr="0075608E">
              <w:rPr>
                <w:rFonts w:ascii="Arial" w:eastAsia="Arial" w:hAnsi="Arial" w:cs="Arial"/>
                <w:b/>
                <w:sz w:val="16"/>
                <w:lang w:val="en-GB"/>
              </w:rPr>
              <w:t>Percentage of total revenue</w:t>
            </w:r>
          </w:p>
        </w:tc>
        <w:tc>
          <w:tcPr>
            <w:tcW w:w="0" w:type="auto"/>
            <w:vMerge/>
          </w:tcPr>
          <w:p w:rsidR="002523A0" w:rsidRPr="0075608E" w:rsidRDefault="002523A0" w:rsidP="00BB2703">
            <w:pPr>
              <w:rPr>
                <w:lang w:val="en-GB"/>
              </w:rPr>
            </w:pPr>
          </w:p>
        </w:tc>
      </w:tr>
      <w:tr w:rsidR="002523A0" w:rsidRPr="0075608E" w:rsidTr="00344D5B">
        <w:trPr>
          <w:trHeight w:val="256"/>
          <w:jc w:val="center"/>
        </w:trPr>
        <w:tc>
          <w:tcPr>
            <w:tcW w:w="1226" w:type="dxa"/>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Functional sugars</w:t>
            </w:r>
          </w:p>
        </w:tc>
        <w:tc>
          <w:tcPr>
            <w:tcW w:w="2580" w:type="dxa"/>
            <w:vAlign w:val="center"/>
          </w:tcPr>
          <w:p w:rsidR="002523A0" w:rsidRPr="0075608E" w:rsidRDefault="002523A0" w:rsidP="00BB2703">
            <w:pPr>
              <w:jc w:val="left"/>
              <w:rPr>
                <w:lang w:val="en-GB"/>
              </w:rPr>
            </w:pPr>
            <w:r w:rsidRPr="0075608E">
              <w:rPr>
                <w:rFonts w:ascii="Arial" w:eastAsia="Arial" w:hAnsi="Arial" w:cs="Arial"/>
                <w:sz w:val="16"/>
                <w:lang w:val="en-GB"/>
              </w:rPr>
              <w:t>Sugar alcohols</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51.47</w:t>
            </w:r>
          </w:p>
        </w:tc>
        <w:tc>
          <w:tcPr>
            <w:tcW w:w="1468" w:type="dxa"/>
            <w:vAlign w:val="center"/>
          </w:tcPr>
          <w:p w:rsidR="002523A0" w:rsidRPr="0075608E" w:rsidRDefault="002523A0" w:rsidP="00BB2703">
            <w:pPr>
              <w:jc w:val="right"/>
              <w:rPr>
                <w:lang w:val="en-GB"/>
              </w:rPr>
            </w:pPr>
            <w:r w:rsidRPr="0075608E">
              <w:rPr>
                <w:rFonts w:ascii="Arial" w:eastAsia="Arial" w:hAnsi="Arial" w:cs="Arial"/>
                <w:sz w:val="16"/>
                <w:lang w:val="en-GB"/>
              </w:rPr>
              <w:t>13.10%</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96.78</w:t>
            </w:r>
          </w:p>
        </w:tc>
        <w:tc>
          <w:tcPr>
            <w:tcW w:w="1401" w:type="dxa"/>
            <w:vAlign w:val="center"/>
          </w:tcPr>
          <w:p w:rsidR="002523A0" w:rsidRPr="0075608E" w:rsidRDefault="002523A0" w:rsidP="00BB2703">
            <w:pPr>
              <w:jc w:val="right"/>
              <w:rPr>
                <w:lang w:val="en-GB"/>
              </w:rPr>
            </w:pPr>
            <w:r w:rsidRPr="0075608E">
              <w:rPr>
                <w:rFonts w:ascii="Arial" w:eastAsia="Arial" w:hAnsi="Arial" w:cs="Arial"/>
                <w:sz w:val="16"/>
                <w:lang w:val="en-GB"/>
              </w:rPr>
              <w:t>24.17%</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-46.82%</w:t>
            </w:r>
          </w:p>
        </w:tc>
      </w:tr>
      <w:tr w:rsidR="002523A0" w:rsidRPr="0075608E" w:rsidTr="00344D5B">
        <w:trPr>
          <w:trHeight w:val="256"/>
          <w:jc w:val="center"/>
        </w:trPr>
        <w:tc>
          <w:tcPr>
            <w:tcW w:w="1226" w:type="dxa"/>
            <w:vMerge/>
          </w:tcPr>
          <w:p w:rsidR="002523A0" w:rsidRPr="0075608E" w:rsidRDefault="002523A0" w:rsidP="00BB2703">
            <w:pPr>
              <w:rPr>
                <w:lang w:val="en-GB"/>
              </w:rPr>
            </w:pPr>
          </w:p>
        </w:tc>
        <w:tc>
          <w:tcPr>
            <w:tcW w:w="2580" w:type="dxa"/>
            <w:vAlign w:val="center"/>
          </w:tcPr>
          <w:p w:rsidR="002523A0" w:rsidRPr="0075608E" w:rsidRDefault="002523A0" w:rsidP="00BB2703">
            <w:pPr>
              <w:jc w:val="left"/>
              <w:rPr>
                <w:lang w:val="en-GB"/>
              </w:rPr>
            </w:pPr>
            <w:r w:rsidRPr="0075608E">
              <w:rPr>
                <w:rFonts w:ascii="Arial" w:eastAsia="Arial" w:hAnsi="Arial" w:cs="Arial"/>
                <w:sz w:val="16"/>
                <w:lang w:val="en-GB"/>
              </w:rPr>
              <w:t>Oligosaccharides</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40.30</w:t>
            </w:r>
          </w:p>
        </w:tc>
        <w:tc>
          <w:tcPr>
            <w:tcW w:w="1468" w:type="dxa"/>
            <w:vAlign w:val="center"/>
          </w:tcPr>
          <w:p w:rsidR="002523A0" w:rsidRPr="0075608E" w:rsidRDefault="002523A0" w:rsidP="00BB2703">
            <w:pPr>
              <w:jc w:val="right"/>
              <w:rPr>
                <w:lang w:val="en-GB"/>
              </w:rPr>
            </w:pPr>
            <w:r w:rsidRPr="0075608E">
              <w:rPr>
                <w:rFonts w:ascii="Arial" w:eastAsia="Arial" w:hAnsi="Arial" w:cs="Arial"/>
                <w:sz w:val="16"/>
                <w:lang w:val="en-GB"/>
              </w:rPr>
              <w:t>10.26%</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42.35</w:t>
            </w:r>
          </w:p>
        </w:tc>
        <w:tc>
          <w:tcPr>
            <w:tcW w:w="1401" w:type="dxa"/>
            <w:vAlign w:val="center"/>
          </w:tcPr>
          <w:p w:rsidR="002523A0" w:rsidRPr="0075608E" w:rsidRDefault="002523A0" w:rsidP="00BB2703">
            <w:pPr>
              <w:jc w:val="right"/>
              <w:rPr>
                <w:lang w:val="en-GB"/>
              </w:rPr>
            </w:pPr>
            <w:r w:rsidRPr="0075608E">
              <w:rPr>
                <w:rFonts w:ascii="Arial" w:eastAsia="Arial" w:hAnsi="Arial" w:cs="Arial"/>
                <w:sz w:val="16"/>
                <w:lang w:val="en-GB"/>
              </w:rPr>
              <w:t>10.58%</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-4.85%</w:t>
            </w:r>
          </w:p>
        </w:tc>
      </w:tr>
      <w:tr w:rsidR="002523A0" w:rsidRPr="0075608E" w:rsidTr="00344D5B">
        <w:trPr>
          <w:trHeight w:val="256"/>
          <w:jc w:val="center"/>
        </w:trPr>
        <w:tc>
          <w:tcPr>
            <w:tcW w:w="1226" w:type="dxa"/>
            <w:vMerge/>
          </w:tcPr>
          <w:p w:rsidR="002523A0" w:rsidRPr="0075608E" w:rsidRDefault="002523A0" w:rsidP="00BB2703">
            <w:pPr>
              <w:rPr>
                <w:lang w:val="en-GB"/>
              </w:rPr>
            </w:pPr>
          </w:p>
        </w:tc>
        <w:tc>
          <w:tcPr>
            <w:tcW w:w="2580" w:type="dxa"/>
            <w:vAlign w:val="center"/>
          </w:tcPr>
          <w:p w:rsidR="002523A0" w:rsidRPr="0075608E" w:rsidRDefault="002523A0" w:rsidP="00BB2703">
            <w:pPr>
              <w:jc w:val="left"/>
              <w:rPr>
                <w:lang w:val="en-GB"/>
              </w:rPr>
            </w:pPr>
            <w:r w:rsidRPr="0075608E">
              <w:rPr>
                <w:rFonts w:ascii="Arial" w:eastAsia="Arial" w:hAnsi="Arial" w:cs="Arial"/>
                <w:sz w:val="16"/>
                <w:lang w:val="en-GB"/>
              </w:rPr>
              <w:t>Other functional sugars</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41.09</w:t>
            </w:r>
          </w:p>
        </w:tc>
        <w:tc>
          <w:tcPr>
            <w:tcW w:w="1468" w:type="dxa"/>
            <w:vAlign w:val="center"/>
          </w:tcPr>
          <w:p w:rsidR="002523A0" w:rsidRPr="0075608E" w:rsidRDefault="002523A0" w:rsidP="00BB2703">
            <w:pPr>
              <w:jc w:val="right"/>
              <w:rPr>
                <w:lang w:val="en-GB"/>
              </w:rPr>
            </w:pPr>
            <w:r w:rsidRPr="0075608E">
              <w:rPr>
                <w:rFonts w:ascii="Arial" w:eastAsia="Arial" w:hAnsi="Arial" w:cs="Arial"/>
                <w:sz w:val="16"/>
                <w:lang w:val="en-GB"/>
              </w:rPr>
              <w:t>10.46%</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36.40</w:t>
            </w:r>
          </w:p>
        </w:tc>
        <w:tc>
          <w:tcPr>
            <w:tcW w:w="1401" w:type="dxa"/>
            <w:vAlign w:val="center"/>
          </w:tcPr>
          <w:p w:rsidR="002523A0" w:rsidRPr="0075608E" w:rsidRDefault="002523A0" w:rsidP="00BB2703">
            <w:pPr>
              <w:jc w:val="right"/>
              <w:rPr>
                <w:lang w:val="en-GB"/>
              </w:rPr>
            </w:pPr>
            <w:r w:rsidRPr="0075608E">
              <w:rPr>
                <w:rFonts w:ascii="Arial" w:eastAsia="Arial" w:hAnsi="Arial" w:cs="Arial"/>
                <w:sz w:val="16"/>
                <w:lang w:val="en-GB"/>
              </w:rPr>
              <w:t>9.09%</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12.87%</w:t>
            </w:r>
          </w:p>
        </w:tc>
      </w:tr>
      <w:tr w:rsidR="002523A0" w:rsidRPr="0075608E" w:rsidTr="00344D5B">
        <w:trPr>
          <w:trHeight w:val="256"/>
          <w:jc w:val="center"/>
        </w:trPr>
        <w:tc>
          <w:tcPr>
            <w:tcW w:w="1226" w:type="dxa"/>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Starch-based sugars</w:t>
            </w:r>
          </w:p>
        </w:tc>
        <w:tc>
          <w:tcPr>
            <w:tcW w:w="2580" w:type="dxa"/>
            <w:vAlign w:val="center"/>
          </w:tcPr>
          <w:p w:rsidR="002523A0" w:rsidRPr="0075608E" w:rsidRDefault="002523A0" w:rsidP="00BB2703">
            <w:pPr>
              <w:jc w:val="left"/>
              <w:rPr>
                <w:lang w:val="en-GB"/>
              </w:rPr>
            </w:pPr>
            <w:r w:rsidRPr="0075608E">
              <w:rPr>
                <w:rFonts w:ascii="Arial" w:eastAsia="Arial" w:hAnsi="Arial" w:cs="Arial"/>
                <w:sz w:val="16"/>
                <w:lang w:val="en-GB"/>
              </w:rPr>
              <w:t>HFCS (high fructose corn syrup)</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44.25</w:t>
            </w:r>
          </w:p>
        </w:tc>
        <w:tc>
          <w:tcPr>
            <w:tcW w:w="1468" w:type="dxa"/>
            <w:vAlign w:val="center"/>
          </w:tcPr>
          <w:p w:rsidR="002523A0" w:rsidRPr="0075608E" w:rsidRDefault="002523A0" w:rsidP="00BB2703">
            <w:pPr>
              <w:jc w:val="right"/>
              <w:rPr>
                <w:lang w:val="en-GB"/>
              </w:rPr>
            </w:pPr>
            <w:r w:rsidRPr="0075608E">
              <w:rPr>
                <w:rFonts w:ascii="Arial" w:eastAsia="Arial" w:hAnsi="Arial" w:cs="Arial"/>
                <w:sz w:val="16"/>
                <w:lang w:val="en-GB"/>
              </w:rPr>
              <w:t>11.26%</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53.90</w:t>
            </w:r>
          </w:p>
        </w:tc>
        <w:tc>
          <w:tcPr>
            <w:tcW w:w="1401" w:type="dxa"/>
            <w:vAlign w:val="center"/>
          </w:tcPr>
          <w:p w:rsidR="002523A0" w:rsidRPr="0075608E" w:rsidRDefault="002523A0" w:rsidP="00BB2703">
            <w:pPr>
              <w:jc w:val="right"/>
              <w:rPr>
                <w:lang w:val="en-GB"/>
              </w:rPr>
            </w:pPr>
            <w:r w:rsidRPr="0075608E">
              <w:rPr>
                <w:rFonts w:ascii="Arial" w:eastAsia="Arial" w:hAnsi="Arial" w:cs="Arial"/>
                <w:sz w:val="16"/>
                <w:lang w:val="en-GB"/>
              </w:rPr>
              <w:t>13.46%</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-17.91%</w:t>
            </w:r>
          </w:p>
        </w:tc>
      </w:tr>
      <w:tr w:rsidR="002523A0" w:rsidRPr="0075608E" w:rsidTr="00344D5B">
        <w:trPr>
          <w:trHeight w:val="256"/>
          <w:jc w:val="center"/>
        </w:trPr>
        <w:tc>
          <w:tcPr>
            <w:tcW w:w="1226" w:type="dxa"/>
            <w:vMerge/>
          </w:tcPr>
          <w:p w:rsidR="002523A0" w:rsidRPr="0075608E" w:rsidRDefault="002523A0" w:rsidP="00BB2703">
            <w:pPr>
              <w:rPr>
                <w:lang w:val="en-GB"/>
              </w:rPr>
            </w:pPr>
          </w:p>
        </w:tc>
        <w:tc>
          <w:tcPr>
            <w:tcW w:w="2580" w:type="dxa"/>
            <w:vAlign w:val="center"/>
          </w:tcPr>
          <w:p w:rsidR="002523A0" w:rsidRPr="0075608E" w:rsidRDefault="002523A0" w:rsidP="00BB2703">
            <w:pPr>
              <w:jc w:val="left"/>
              <w:rPr>
                <w:lang w:val="en-GB"/>
              </w:rPr>
            </w:pPr>
            <w:r w:rsidRPr="0075608E">
              <w:rPr>
                <w:rFonts w:ascii="Arial" w:eastAsia="Arial" w:hAnsi="Arial" w:cs="Arial"/>
                <w:sz w:val="16"/>
                <w:lang w:val="en-GB"/>
              </w:rPr>
              <w:t>Maltodextrin</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38.65</w:t>
            </w:r>
          </w:p>
        </w:tc>
        <w:tc>
          <w:tcPr>
            <w:tcW w:w="1468" w:type="dxa"/>
            <w:vAlign w:val="center"/>
          </w:tcPr>
          <w:p w:rsidR="002523A0" w:rsidRPr="0075608E" w:rsidRDefault="002523A0" w:rsidP="00BB2703">
            <w:pPr>
              <w:jc w:val="right"/>
              <w:rPr>
                <w:lang w:val="en-GB"/>
              </w:rPr>
            </w:pPr>
            <w:r w:rsidRPr="0075608E">
              <w:rPr>
                <w:rFonts w:ascii="Arial" w:eastAsia="Arial" w:hAnsi="Arial" w:cs="Arial"/>
                <w:sz w:val="16"/>
                <w:lang w:val="en-GB"/>
              </w:rPr>
              <w:t>9.84%</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47.50</w:t>
            </w:r>
          </w:p>
        </w:tc>
        <w:tc>
          <w:tcPr>
            <w:tcW w:w="1401" w:type="dxa"/>
            <w:vAlign w:val="center"/>
          </w:tcPr>
          <w:p w:rsidR="002523A0" w:rsidRPr="0075608E" w:rsidRDefault="002523A0" w:rsidP="00BB2703">
            <w:pPr>
              <w:jc w:val="right"/>
              <w:rPr>
                <w:lang w:val="en-GB"/>
              </w:rPr>
            </w:pPr>
            <w:r w:rsidRPr="0075608E">
              <w:rPr>
                <w:rFonts w:ascii="Arial" w:eastAsia="Arial" w:hAnsi="Arial" w:cs="Arial"/>
                <w:sz w:val="16"/>
                <w:lang w:val="en-GB"/>
              </w:rPr>
              <w:t>11.86%</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-18.62%</w:t>
            </w:r>
          </w:p>
        </w:tc>
      </w:tr>
      <w:tr w:rsidR="002523A0" w:rsidRPr="0075608E" w:rsidTr="00344D5B">
        <w:trPr>
          <w:trHeight w:val="256"/>
          <w:jc w:val="center"/>
        </w:trPr>
        <w:tc>
          <w:tcPr>
            <w:tcW w:w="1226" w:type="dxa"/>
            <w:vMerge/>
          </w:tcPr>
          <w:p w:rsidR="002523A0" w:rsidRPr="0075608E" w:rsidRDefault="002523A0" w:rsidP="00BB2703">
            <w:pPr>
              <w:rPr>
                <w:lang w:val="en-GB"/>
              </w:rPr>
            </w:pPr>
          </w:p>
        </w:tc>
        <w:tc>
          <w:tcPr>
            <w:tcW w:w="2580" w:type="dxa"/>
            <w:vAlign w:val="center"/>
          </w:tcPr>
          <w:p w:rsidR="002523A0" w:rsidRPr="0075608E" w:rsidRDefault="002523A0" w:rsidP="00BB2703">
            <w:pPr>
              <w:jc w:val="left"/>
              <w:rPr>
                <w:lang w:val="en-GB"/>
              </w:rPr>
            </w:pPr>
            <w:r w:rsidRPr="0075608E">
              <w:rPr>
                <w:rFonts w:ascii="Arial" w:eastAsia="Arial" w:hAnsi="Arial" w:cs="Arial"/>
                <w:sz w:val="16"/>
                <w:lang w:val="en-GB"/>
              </w:rPr>
              <w:t>Other starch-based sugars</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42.15</w:t>
            </w:r>
          </w:p>
        </w:tc>
        <w:tc>
          <w:tcPr>
            <w:tcW w:w="1468" w:type="dxa"/>
            <w:vAlign w:val="center"/>
          </w:tcPr>
          <w:p w:rsidR="002523A0" w:rsidRPr="0075608E" w:rsidRDefault="002523A0" w:rsidP="00BB2703">
            <w:pPr>
              <w:jc w:val="right"/>
              <w:rPr>
                <w:lang w:val="en-GB"/>
              </w:rPr>
            </w:pPr>
            <w:r w:rsidRPr="0075608E">
              <w:rPr>
                <w:rFonts w:ascii="Arial" w:eastAsia="Arial" w:hAnsi="Arial" w:cs="Arial"/>
                <w:sz w:val="16"/>
                <w:lang w:val="en-GB"/>
              </w:rPr>
              <w:t>10.73%</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33.66</w:t>
            </w:r>
          </w:p>
        </w:tc>
        <w:tc>
          <w:tcPr>
            <w:tcW w:w="1401" w:type="dxa"/>
            <w:vAlign w:val="center"/>
          </w:tcPr>
          <w:p w:rsidR="002523A0" w:rsidRPr="0075608E" w:rsidRDefault="002523A0" w:rsidP="00BB2703">
            <w:pPr>
              <w:jc w:val="right"/>
              <w:rPr>
                <w:lang w:val="en-GB"/>
              </w:rPr>
            </w:pPr>
            <w:r w:rsidRPr="0075608E">
              <w:rPr>
                <w:rFonts w:ascii="Arial" w:eastAsia="Arial" w:hAnsi="Arial" w:cs="Arial"/>
                <w:sz w:val="16"/>
                <w:lang w:val="en-GB"/>
              </w:rPr>
              <w:t>8.41%</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25.23%</w:t>
            </w:r>
          </w:p>
        </w:tc>
      </w:tr>
      <w:tr w:rsidR="002523A0" w:rsidRPr="0075608E" w:rsidTr="00344D5B">
        <w:trPr>
          <w:trHeight w:val="256"/>
          <w:jc w:val="center"/>
        </w:trPr>
        <w:tc>
          <w:tcPr>
            <w:tcW w:w="3806" w:type="dxa"/>
            <w:gridSpan w:val="2"/>
            <w:vAlign w:val="center"/>
          </w:tcPr>
          <w:p w:rsidR="002523A0" w:rsidRPr="0075608E" w:rsidRDefault="002523A0" w:rsidP="00BB2703">
            <w:pPr>
              <w:jc w:val="left"/>
              <w:rPr>
                <w:lang w:val="en-GB"/>
              </w:rPr>
            </w:pPr>
            <w:r w:rsidRPr="0075608E">
              <w:rPr>
                <w:rFonts w:ascii="Arial" w:eastAsia="Arial" w:hAnsi="Arial" w:cs="Arial"/>
                <w:sz w:val="16"/>
                <w:lang w:val="en-GB"/>
              </w:rPr>
              <w:t xml:space="preserve">Feed　</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84.09</w:t>
            </w:r>
          </w:p>
        </w:tc>
        <w:tc>
          <w:tcPr>
            <w:tcW w:w="1468" w:type="dxa"/>
            <w:vAlign w:val="center"/>
          </w:tcPr>
          <w:p w:rsidR="002523A0" w:rsidRPr="0075608E" w:rsidRDefault="002523A0" w:rsidP="00BB2703">
            <w:pPr>
              <w:jc w:val="right"/>
              <w:rPr>
                <w:lang w:val="en-GB"/>
              </w:rPr>
            </w:pPr>
            <w:r w:rsidRPr="0075608E">
              <w:rPr>
                <w:rFonts w:ascii="Arial" w:eastAsia="Arial" w:hAnsi="Arial" w:cs="Arial"/>
                <w:sz w:val="16"/>
                <w:lang w:val="en-GB"/>
              </w:rPr>
              <w:t>21.41%</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44.65</w:t>
            </w:r>
          </w:p>
        </w:tc>
        <w:tc>
          <w:tcPr>
            <w:tcW w:w="1401" w:type="dxa"/>
            <w:vAlign w:val="center"/>
          </w:tcPr>
          <w:p w:rsidR="002523A0" w:rsidRPr="0075608E" w:rsidRDefault="002523A0" w:rsidP="00BB2703">
            <w:pPr>
              <w:jc w:val="right"/>
              <w:rPr>
                <w:lang w:val="en-GB"/>
              </w:rPr>
            </w:pPr>
            <w:r w:rsidRPr="0075608E">
              <w:rPr>
                <w:rFonts w:ascii="Arial" w:eastAsia="Arial" w:hAnsi="Arial" w:cs="Arial"/>
                <w:sz w:val="16"/>
                <w:lang w:val="en-GB"/>
              </w:rPr>
              <w:t>11.15%</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88.34%</w:t>
            </w:r>
          </w:p>
        </w:tc>
      </w:tr>
      <w:tr w:rsidR="002523A0" w:rsidRPr="0075608E" w:rsidTr="00344D5B">
        <w:trPr>
          <w:trHeight w:val="256"/>
          <w:jc w:val="center"/>
        </w:trPr>
        <w:tc>
          <w:tcPr>
            <w:tcW w:w="3806" w:type="dxa"/>
            <w:gridSpan w:val="2"/>
            <w:vAlign w:val="center"/>
          </w:tcPr>
          <w:p w:rsidR="002523A0" w:rsidRPr="0075608E" w:rsidRDefault="002523A0" w:rsidP="00BB2703">
            <w:pPr>
              <w:jc w:val="left"/>
              <w:rPr>
                <w:lang w:val="en-GB"/>
              </w:rPr>
            </w:pPr>
            <w:r w:rsidRPr="0075608E">
              <w:rPr>
                <w:rFonts w:ascii="Arial" w:eastAsia="Arial" w:hAnsi="Arial" w:cs="Arial"/>
                <w:sz w:val="16"/>
                <w:lang w:val="en-GB"/>
              </w:rPr>
              <w:t>By-products and others</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49.45</w:t>
            </w:r>
          </w:p>
        </w:tc>
        <w:tc>
          <w:tcPr>
            <w:tcW w:w="1468" w:type="dxa"/>
            <w:vAlign w:val="center"/>
          </w:tcPr>
          <w:p w:rsidR="002523A0" w:rsidRPr="0075608E" w:rsidRDefault="002523A0" w:rsidP="00BB2703">
            <w:pPr>
              <w:jc w:val="right"/>
              <w:rPr>
                <w:lang w:val="en-GB"/>
              </w:rPr>
            </w:pPr>
            <w:r w:rsidRPr="0075608E">
              <w:rPr>
                <w:rFonts w:ascii="Arial" w:eastAsia="Arial" w:hAnsi="Arial" w:cs="Arial"/>
                <w:sz w:val="16"/>
                <w:lang w:val="en-GB"/>
              </w:rPr>
              <w:t>12.59%</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43.73</w:t>
            </w:r>
          </w:p>
        </w:tc>
        <w:tc>
          <w:tcPr>
            <w:tcW w:w="1401" w:type="dxa"/>
            <w:vAlign w:val="center"/>
          </w:tcPr>
          <w:p w:rsidR="002523A0" w:rsidRPr="0075608E" w:rsidRDefault="002523A0" w:rsidP="00BB2703">
            <w:pPr>
              <w:jc w:val="right"/>
              <w:rPr>
                <w:lang w:val="en-GB"/>
              </w:rPr>
            </w:pPr>
            <w:r w:rsidRPr="0075608E">
              <w:rPr>
                <w:rFonts w:ascii="Arial" w:eastAsia="Arial" w:hAnsi="Arial" w:cs="Arial"/>
                <w:sz w:val="16"/>
                <w:lang w:val="en-GB"/>
              </w:rPr>
              <w:t>10.92%</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13.10%</w:t>
            </w:r>
          </w:p>
        </w:tc>
      </w:tr>
      <w:tr w:rsidR="002523A0" w:rsidRPr="0075608E" w:rsidTr="00344D5B">
        <w:trPr>
          <w:trHeight w:val="256"/>
          <w:jc w:val="center"/>
        </w:trPr>
        <w:tc>
          <w:tcPr>
            <w:tcW w:w="3806" w:type="dxa"/>
            <w:gridSpan w:val="2"/>
            <w:vAlign w:val="center"/>
          </w:tcPr>
          <w:p w:rsidR="002523A0" w:rsidRPr="0075608E" w:rsidRDefault="002523A0" w:rsidP="00BB2703">
            <w:pPr>
              <w:jc w:val="left"/>
              <w:rPr>
                <w:lang w:val="en-GB"/>
              </w:rPr>
            </w:pPr>
            <w:r w:rsidRPr="0075608E">
              <w:rPr>
                <w:rFonts w:ascii="Arial" w:eastAsia="Arial" w:hAnsi="Arial" w:cs="Arial"/>
                <w:sz w:val="16"/>
                <w:lang w:val="en-GB"/>
              </w:rPr>
              <w:t>Other businesses</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1.39</w:t>
            </w:r>
          </w:p>
        </w:tc>
        <w:tc>
          <w:tcPr>
            <w:tcW w:w="1468" w:type="dxa"/>
            <w:vAlign w:val="center"/>
          </w:tcPr>
          <w:p w:rsidR="002523A0" w:rsidRPr="0075608E" w:rsidRDefault="002523A0" w:rsidP="00BB2703">
            <w:pPr>
              <w:jc w:val="right"/>
              <w:rPr>
                <w:lang w:val="en-GB"/>
              </w:rPr>
            </w:pPr>
            <w:r w:rsidRPr="0075608E">
              <w:rPr>
                <w:rFonts w:ascii="Arial" w:eastAsia="Arial" w:hAnsi="Arial" w:cs="Arial"/>
                <w:sz w:val="16"/>
                <w:lang w:val="en-GB"/>
              </w:rPr>
              <w:t>0.35%</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1.43</w:t>
            </w:r>
          </w:p>
        </w:tc>
        <w:tc>
          <w:tcPr>
            <w:tcW w:w="1401" w:type="dxa"/>
            <w:vAlign w:val="center"/>
          </w:tcPr>
          <w:p w:rsidR="002523A0" w:rsidRPr="0075608E" w:rsidRDefault="002523A0" w:rsidP="00BB2703">
            <w:pPr>
              <w:jc w:val="right"/>
              <w:rPr>
                <w:lang w:val="en-GB"/>
              </w:rPr>
            </w:pPr>
            <w:r w:rsidRPr="0075608E">
              <w:rPr>
                <w:rFonts w:ascii="Arial" w:eastAsia="Arial" w:hAnsi="Arial" w:cs="Arial"/>
                <w:sz w:val="16"/>
                <w:lang w:val="en-GB"/>
              </w:rPr>
              <w:t>0.36%</w:t>
            </w:r>
          </w:p>
        </w:tc>
        <w:tc>
          <w:tcPr>
            <w:tcW w:w="0" w:type="auto"/>
            <w:vAlign w:val="center"/>
          </w:tcPr>
          <w:p w:rsidR="002523A0" w:rsidRPr="0075608E" w:rsidRDefault="002523A0" w:rsidP="00BB2703">
            <w:pPr>
              <w:jc w:val="right"/>
              <w:rPr>
                <w:lang w:val="en-GB"/>
              </w:rPr>
            </w:pPr>
            <w:r w:rsidRPr="0075608E">
              <w:rPr>
                <w:rFonts w:ascii="Arial" w:eastAsia="Arial" w:hAnsi="Arial" w:cs="Arial"/>
                <w:sz w:val="16"/>
                <w:lang w:val="en-GB"/>
              </w:rPr>
              <w:t>-3.16%</w:t>
            </w:r>
          </w:p>
        </w:tc>
      </w:tr>
      <w:tr w:rsidR="002523A0" w:rsidRPr="0075608E" w:rsidTr="00344D5B">
        <w:trPr>
          <w:jc w:val="center"/>
        </w:trPr>
        <w:tc>
          <w:tcPr>
            <w:tcW w:w="9483" w:type="dxa"/>
            <w:gridSpan w:val="7"/>
            <w:tcBorders>
              <w:left w:val="nil"/>
              <w:bottom w:val="nil"/>
              <w:right w:val="nil"/>
            </w:tcBorders>
          </w:tcPr>
          <w:p w:rsidR="002523A0" w:rsidRPr="0075608E" w:rsidRDefault="002523A0" w:rsidP="00BB2703">
            <w:pPr>
              <w:rPr>
                <w:lang w:val="en-GB"/>
              </w:rPr>
            </w:pPr>
            <w:r w:rsidRPr="0075608E">
              <w:rPr>
                <w:rFonts w:ascii="Arial" w:eastAsia="Arial" w:hAnsi="Arial" w:cs="Arial"/>
                <w:i/>
                <w:sz w:val="16"/>
                <w:lang w:val="en-GB"/>
              </w:rPr>
              <w:t>Source: BLB</w:t>
            </w:r>
          </w:p>
        </w:tc>
      </w:tr>
    </w:tbl>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BLB's 30,000 t/a crystalline erythritol project was launched in 2021 and entered trial production in Oct. 2022, bringing in a revenue of over USD7.24 million (RMB50 million) by the end of 2022. This project improves the conversion rate of erythritol with the precise fermentation process control technology that is based on metabolic engineering and intelligence engineering. In addition, the multi-membranes integrated separation technology raises the purity of erythritol products to above 99.5% and reduces energy consumption and production costs by 30% and nearly 10%, respectively.</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Shandong Sanyuan Biotechnology Co., Ltd. (Sanyuan Biology) fared worse than BLB in 2022, with revenue dropping 59.71% to USD97.74 million (RMB674.91 million) and the net profit attributable to shareholders of the listed company decreasing 69.43% to USD23.70 million (RMB163.69 million), according to its annual report released on 27 April.</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During the reporting period, Sanyuan Biology received fewer orders as downstream sectors such as the beverage and catering industries had less demand due to the mounting downward economic pressure and weak domestic consumption, resulting in the sales revenue decline. On top of that, seeing the boom in the domestic functional sugar industry in 2021, a lot of new erythritol producers put their products on the market in 2022 and original producers continued to expand production, which caused a surge in supply and intensified the competition in the industry. That led to a plunge in the market price of erythritol and shrinking profits of the erythritol industry.</w:t>
      </w:r>
    </w:p>
    <w:p w:rsidR="002523A0" w:rsidRPr="0075608E" w:rsidRDefault="002523A0" w:rsidP="002523A0">
      <w:pPr>
        <w:rPr>
          <w:lang w:val="en-GB"/>
        </w:rPr>
      </w:pPr>
    </w:p>
    <w:p w:rsidR="002523A0" w:rsidRPr="0075608E" w:rsidRDefault="002523A0" w:rsidP="002523A0">
      <w:pPr>
        <w:spacing w:after="100"/>
        <w:jc w:val="center"/>
        <w:rPr>
          <w:rFonts w:ascii="Arial" w:hAnsi="Arial" w:cs="Arial"/>
          <w:sz w:val="16"/>
          <w:lang w:val="en-GB"/>
        </w:rPr>
      </w:pPr>
      <w:r w:rsidRPr="0075608E">
        <w:rPr>
          <w:rFonts w:ascii="Arial" w:eastAsia="Arial" w:hAnsi="Arial" w:cs="Arial"/>
          <w:b/>
          <w:sz w:val="16"/>
          <w:lang w:val="en-GB"/>
        </w:rPr>
        <w:t>TABLE</w:t>
      </w:r>
      <w:r w:rsidRPr="0075608E">
        <w:rPr>
          <w:rFonts w:ascii="Arial" w:eastAsia="Arial" w:hAnsi="Arial" w:cs="Arial"/>
          <w:sz w:val="16"/>
          <w:lang w:val="en-GB"/>
        </w:rPr>
        <w:t xml:space="preserve"> 8: Sanyuan Biology's revenue in 2022 by product, million USD</w:t>
      </w:r>
    </w:p>
    <w:tbl>
      <w:tblPr>
        <w:tblW w:w="8913" w:type="dxa"/>
        <w:tblInd w:w="93" w:type="dxa"/>
        <w:tblLook w:val="04A0" w:firstRow="1" w:lastRow="0" w:firstColumn="1" w:lastColumn="0" w:noHBand="0" w:noVBand="1"/>
      </w:tblPr>
      <w:tblGrid>
        <w:gridCol w:w="1809"/>
        <w:gridCol w:w="883"/>
        <w:gridCol w:w="2129"/>
        <w:gridCol w:w="883"/>
        <w:gridCol w:w="2129"/>
        <w:gridCol w:w="1080"/>
      </w:tblGrid>
      <w:tr w:rsidR="00344D5B" w:rsidRPr="0075608E" w:rsidTr="00344D5B">
        <w:trPr>
          <w:trHeight w:val="285"/>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D5B" w:rsidRPr="0075608E" w:rsidRDefault="00344D5B" w:rsidP="00344D5B">
            <w:pPr>
              <w:widowControl/>
              <w:jc w:val="center"/>
              <w:rPr>
                <w:rFonts w:ascii="Arial" w:eastAsia="宋体" w:hAnsi="Arial" w:cs="Arial"/>
                <w:b/>
                <w:bCs/>
                <w:kern w:val="0"/>
                <w:sz w:val="16"/>
                <w:szCs w:val="16"/>
                <w:lang w:val="en-GB"/>
              </w:rPr>
            </w:pPr>
            <w:r w:rsidRPr="0075608E">
              <w:rPr>
                <w:rFonts w:ascii="Arial" w:eastAsia="宋体" w:hAnsi="Arial" w:cs="Arial"/>
                <w:b/>
                <w:bCs/>
                <w:kern w:val="0"/>
                <w:sz w:val="16"/>
                <w:szCs w:val="16"/>
                <w:lang w:val="en-GB"/>
              </w:rPr>
              <w:t>Product</w:t>
            </w:r>
            <w:r w:rsidRPr="0075608E">
              <w:rPr>
                <w:rFonts w:ascii="Arial" w:eastAsia="宋体" w:hAnsi="Arial" w:cs="Arial"/>
                <w:b/>
                <w:bCs/>
                <w:kern w:val="0"/>
                <w:sz w:val="16"/>
                <w:szCs w:val="16"/>
                <w:lang w:val="en-GB"/>
              </w:rPr>
              <w:t xml:space="preserve">　</w:t>
            </w:r>
          </w:p>
        </w:tc>
        <w:tc>
          <w:tcPr>
            <w:tcW w:w="3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center"/>
              <w:rPr>
                <w:rFonts w:ascii="Arial" w:eastAsia="宋体" w:hAnsi="Arial" w:cs="Arial"/>
                <w:b/>
                <w:bCs/>
                <w:kern w:val="0"/>
                <w:sz w:val="16"/>
                <w:szCs w:val="16"/>
                <w:lang w:val="en-GB"/>
              </w:rPr>
            </w:pPr>
            <w:r w:rsidRPr="0075608E">
              <w:rPr>
                <w:rFonts w:ascii="Arial" w:eastAsia="宋体" w:hAnsi="Arial" w:cs="Arial"/>
                <w:b/>
                <w:bCs/>
                <w:kern w:val="0"/>
                <w:sz w:val="16"/>
                <w:szCs w:val="16"/>
                <w:lang w:val="en-GB"/>
              </w:rPr>
              <w:t>2022</w:t>
            </w:r>
          </w:p>
        </w:tc>
        <w:tc>
          <w:tcPr>
            <w:tcW w:w="3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center"/>
              <w:rPr>
                <w:rFonts w:ascii="Arial" w:eastAsia="宋体" w:hAnsi="Arial" w:cs="Arial"/>
                <w:b/>
                <w:bCs/>
                <w:kern w:val="0"/>
                <w:sz w:val="16"/>
                <w:szCs w:val="16"/>
                <w:lang w:val="en-GB"/>
              </w:rPr>
            </w:pPr>
            <w:r w:rsidRPr="0075608E">
              <w:rPr>
                <w:rFonts w:ascii="Arial" w:eastAsia="宋体" w:hAnsi="Arial" w:cs="Arial"/>
                <w:b/>
                <w:bCs/>
                <w:kern w:val="0"/>
                <w:sz w:val="16"/>
                <w:szCs w:val="16"/>
                <w:lang w:val="en-GB"/>
              </w:rPr>
              <w:t>2021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D5B" w:rsidRPr="0075608E" w:rsidRDefault="00344D5B" w:rsidP="00344D5B">
            <w:pPr>
              <w:widowControl/>
              <w:jc w:val="center"/>
              <w:rPr>
                <w:rFonts w:ascii="Arial" w:eastAsia="宋体" w:hAnsi="Arial" w:cs="Arial"/>
                <w:b/>
                <w:bCs/>
                <w:kern w:val="0"/>
                <w:sz w:val="16"/>
                <w:szCs w:val="16"/>
                <w:lang w:val="en-GB"/>
              </w:rPr>
            </w:pPr>
            <w:r w:rsidRPr="0075608E">
              <w:rPr>
                <w:rFonts w:ascii="Arial" w:eastAsia="宋体" w:hAnsi="Arial" w:cs="Arial"/>
                <w:b/>
                <w:bCs/>
                <w:kern w:val="0"/>
                <w:sz w:val="16"/>
                <w:szCs w:val="16"/>
                <w:lang w:val="en-GB"/>
              </w:rPr>
              <w:t>YoY change</w:t>
            </w:r>
          </w:p>
        </w:tc>
      </w:tr>
      <w:tr w:rsidR="00344D5B" w:rsidRPr="0075608E" w:rsidTr="00344D5B">
        <w:trPr>
          <w:trHeight w:val="28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44D5B" w:rsidRPr="0075608E" w:rsidRDefault="00344D5B" w:rsidP="00344D5B">
            <w:pPr>
              <w:widowControl/>
              <w:jc w:val="left"/>
              <w:rPr>
                <w:rFonts w:ascii="Arial" w:eastAsia="宋体" w:hAnsi="Arial" w:cs="Arial"/>
                <w:b/>
                <w:bCs/>
                <w:kern w:val="0"/>
                <w:sz w:val="16"/>
                <w:szCs w:val="16"/>
                <w:lang w:val="en-GB"/>
              </w:rPr>
            </w:pPr>
          </w:p>
        </w:tc>
        <w:tc>
          <w:tcPr>
            <w:tcW w:w="883"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center"/>
              <w:rPr>
                <w:rFonts w:ascii="Arial" w:eastAsia="宋体" w:hAnsi="Arial" w:cs="Arial"/>
                <w:b/>
                <w:bCs/>
                <w:kern w:val="0"/>
                <w:sz w:val="16"/>
                <w:szCs w:val="16"/>
                <w:lang w:val="en-GB"/>
              </w:rPr>
            </w:pPr>
            <w:r w:rsidRPr="0075608E">
              <w:rPr>
                <w:rFonts w:ascii="Arial" w:eastAsia="宋体" w:hAnsi="Arial" w:cs="Arial"/>
                <w:b/>
                <w:bCs/>
                <w:kern w:val="0"/>
                <w:sz w:val="16"/>
                <w:szCs w:val="16"/>
                <w:lang w:val="en-GB"/>
              </w:rPr>
              <w:t>Revenue</w:t>
            </w:r>
          </w:p>
        </w:tc>
        <w:tc>
          <w:tcPr>
            <w:tcW w:w="2129"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center"/>
              <w:rPr>
                <w:rFonts w:ascii="Arial" w:eastAsia="宋体" w:hAnsi="Arial" w:cs="Arial"/>
                <w:b/>
                <w:bCs/>
                <w:kern w:val="0"/>
                <w:sz w:val="16"/>
                <w:szCs w:val="16"/>
                <w:lang w:val="en-GB"/>
              </w:rPr>
            </w:pPr>
            <w:r w:rsidRPr="0075608E">
              <w:rPr>
                <w:rFonts w:ascii="Arial" w:eastAsia="宋体" w:hAnsi="Arial" w:cs="Arial"/>
                <w:b/>
                <w:bCs/>
                <w:kern w:val="0"/>
                <w:sz w:val="16"/>
                <w:szCs w:val="16"/>
                <w:lang w:val="en-GB"/>
              </w:rPr>
              <w:t>Percentage of total revenue</w:t>
            </w:r>
          </w:p>
        </w:tc>
        <w:tc>
          <w:tcPr>
            <w:tcW w:w="883"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center"/>
              <w:rPr>
                <w:rFonts w:ascii="Arial" w:eastAsia="宋体" w:hAnsi="Arial" w:cs="Arial"/>
                <w:b/>
                <w:bCs/>
                <w:kern w:val="0"/>
                <w:sz w:val="16"/>
                <w:szCs w:val="16"/>
                <w:lang w:val="en-GB"/>
              </w:rPr>
            </w:pPr>
            <w:r w:rsidRPr="0075608E">
              <w:rPr>
                <w:rFonts w:ascii="Arial" w:eastAsia="宋体" w:hAnsi="Arial" w:cs="Arial"/>
                <w:b/>
                <w:bCs/>
                <w:kern w:val="0"/>
                <w:sz w:val="16"/>
                <w:szCs w:val="16"/>
                <w:lang w:val="en-GB"/>
              </w:rPr>
              <w:t>Revenue</w:t>
            </w:r>
          </w:p>
        </w:tc>
        <w:tc>
          <w:tcPr>
            <w:tcW w:w="2129"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center"/>
              <w:rPr>
                <w:rFonts w:ascii="Arial" w:eastAsia="宋体" w:hAnsi="Arial" w:cs="Arial"/>
                <w:b/>
                <w:bCs/>
                <w:kern w:val="0"/>
                <w:sz w:val="16"/>
                <w:szCs w:val="16"/>
                <w:lang w:val="en-GB"/>
              </w:rPr>
            </w:pPr>
            <w:r w:rsidRPr="0075608E">
              <w:rPr>
                <w:rFonts w:ascii="Arial" w:eastAsia="宋体" w:hAnsi="Arial" w:cs="Arial"/>
                <w:b/>
                <w:bCs/>
                <w:kern w:val="0"/>
                <w:sz w:val="16"/>
                <w:szCs w:val="16"/>
                <w:lang w:val="en-GB"/>
              </w:rPr>
              <w:t>Percentage of total revenue</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44D5B" w:rsidRPr="0075608E" w:rsidRDefault="00344D5B" w:rsidP="00344D5B">
            <w:pPr>
              <w:widowControl/>
              <w:jc w:val="left"/>
              <w:rPr>
                <w:rFonts w:ascii="Arial" w:eastAsia="宋体" w:hAnsi="Arial" w:cs="Arial"/>
                <w:b/>
                <w:bCs/>
                <w:kern w:val="0"/>
                <w:sz w:val="16"/>
                <w:szCs w:val="16"/>
                <w:lang w:val="en-GB"/>
              </w:rPr>
            </w:pPr>
          </w:p>
        </w:tc>
      </w:tr>
      <w:tr w:rsidR="00344D5B" w:rsidRPr="0075608E" w:rsidTr="00344D5B">
        <w:trPr>
          <w:trHeight w:val="28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344D5B" w:rsidRPr="0075608E" w:rsidRDefault="00344D5B" w:rsidP="00344D5B">
            <w:pPr>
              <w:widowControl/>
              <w:jc w:val="left"/>
              <w:rPr>
                <w:rFonts w:ascii="Arial" w:eastAsia="宋体" w:hAnsi="Arial" w:cs="Arial"/>
                <w:kern w:val="0"/>
                <w:sz w:val="16"/>
                <w:szCs w:val="16"/>
                <w:lang w:val="en-GB"/>
              </w:rPr>
            </w:pPr>
            <w:r w:rsidRPr="0075608E">
              <w:rPr>
                <w:rFonts w:ascii="Arial" w:eastAsia="宋体" w:hAnsi="Arial" w:cs="Arial"/>
                <w:kern w:val="0"/>
                <w:sz w:val="16"/>
                <w:szCs w:val="16"/>
                <w:lang w:val="en-GB"/>
              </w:rPr>
              <w:t>Erythritol</w:t>
            </w:r>
          </w:p>
        </w:tc>
        <w:tc>
          <w:tcPr>
            <w:tcW w:w="883"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83.23</w:t>
            </w:r>
          </w:p>
        </w:tc>
        <w:tc>
          <w:tcPr>
            <w:tcW w:w="2129"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85.16%</w:t>
            </w:r>
          </w:p>
        </w:tc>
        <w:tc>
          <w:tcPr>
            <w:tcW w:w="883"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226.95</w:t>
            </w:r>
          </w:p>
        </w:tc>
        <w:tc>
          <w:tcPr>
            <w:tcW w:w="2129"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93.54%</w:t>
            </w:r>
          </w:p>
        </w:tc>
        <w:tc>
          <w:tcPr>
            <w:tcW w:w="1080"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-63.33%</w:t>
            </w:r>
          </w:p>
        </w:tc>
      </w:tr>
      <w:tr w:rsidR="00344D5B" w:rsidRPr="0075608E" w:rsidTr="00344D5B">
        <w:trPr>
          <w:trHeight w:val="28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344D5B" w:rsidRPr="0075608E" w:rsidRDefault="00344D5B" w:rsidP="00344D5B">
            <w:pPr>
              <w:widowControl/>
              <w:jc w:val="left"/>
              <w:rPr>
                <w:rFonts w:ascii="Arial" w:eastAsia="宋体" w:hAnsi="Arial" w:cs="Arial"/>
                <w:kern w:val="0"/>
                <w:sz w:val="16"/>
                <w:szCs w:val="16"/>
                <w:lang w:val="en-GB"/>
              </w:rPr>
            </w:pPr>
            <w:r w:rsidRPr="0075608E">
              <w:rPr>
                <w:rFonts w:ascii="Arial" w:eastAsia="宋体" w:hAnsi="Arial" w:cs="Arial"/>
                <w:kern w:val="0"/>
                <w:sz w:val="16"/>
                <w:szCs w:val="16"/>
                <w:lang w:val="en-GB"/>
              </w:rPr>
              <w:t>Compound sugar</w:t>
            </w:r>
          </w:p>
        </w:tc>
        <w:tc>
          <w:tcPr>
            <w:tcW w:w="883"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11.64</w:t>
            </w:r>
          </w:p>
        </w:tc>
        <w:tc>
          <w:tcPr>
            <w:tcW w:w="2129"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11.91%</w:t>
            </w:r>
          </w:p>
        </w:tc>
        <w:tc>
          <w:tcPr>
            <w:tcW w:w="883"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10.75</w:t>
            </w:r>
          </w:p>
        </w:tc>
        <w:tc>
          <w:tcPr>
            <w:tcW w:w="2129"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4.43%</w:t>
            </w:r>
          </w:p>
        </w:tc>
        <w:tc>
          <w:tcPr>
            <w:tcW w:w="1080"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8.28%</w:t>
            </w:r>
          </w:p>
        </w:tc>
      </w:tr>
      <w:tr w:rsidR="00344D5B" w:rsidRPr="0075608E" w:rsidTr="00344D5B">
        <w:trPr>
          <w:trHeight w:val="28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344D5B" w:rsidRPr="0075608E" w:rsidRDefault="00344D5B" w:rsidP="00344D5B">
            <w:pPr>
              <w:widowControl/>
              <w:jc w:val="left"/>
              <w:rPr>
                <w:rFonts w:ascii="Arial" w:eastAsia="宋体" w:hAnsi="Arial" w:cs="Arial"/>
                <w:kern w:val="0"/>
                <w:sz w:val="16"/>
                <w:szCs w:val="16"/>
                <w:lang w:val="en-GB"/>
              </w:rPr>
            </w:pPr>
            <w:r w:rsidRPr="0075608E">
              <w:rPr>
                <w:rFonts w:ascii="Arial" w:eastAsia="宋体" w:hAnsi="Arial" w:cs="Arial"/>
                <w:kern w:val="0"/>
                <w:sz w:val="16"/>
                <w:szCs w:val="16"/>
                <w:lang w:val="en-GB"/>
              </w:rPr>
              <w:t>Allulose</w:t>
            </w:r>
          </w:p>
        </w:tc>
        <w:tc>
          <w:tcPr>
            <w:tcW w:w="883"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0.10</w:t>
            </w:r>
          </w:p>
        </w:tc>
        <w:tc>
          <w:tcPr>
            <w:tcW w:w="2129"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0.10%</w:t>
            </w:r>
          </w:p>
        </w:tc>
        <w:tc>
          <w:tcPr>
            <w:tcW w:w="883"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w:t>
            </w:r>
          </w:p>
        </w:tc>
        <w:tc>
          <w:tcPr>
            <w:tcW w:w="2129"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w:t>
            </w:r>
          </w:p>
        </w:tc>
        <w:tc>
          <w:tcPr>
            <w:tcW w:w="1080"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w:t>
            </w:r>
          </w:p>
        </w:tc>
      </w:tr>
      <w:tr w:rsidR="00344D5B" w:rsidRPr="0075608E" w:rsidTr="00344D5B">
        <w:trPr>
          <w:trHeight w:val="28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344D5B" w:rsidRPr="0075608E" w:rsidRDefault="00344D5B" w:rsidP="00344D5B">
            <w:pPr>
              <w:widowControl/>
              <w:jc w:val="left"/>
              <w:rPr>
                <w:rFonts w:ascii="Arial" w:eastAsia="宋体" w:hAnsi="Arial" w:cs="Arial"/>
                <w:kern w:val="0"/>
                <w:sz w:val="16"/>
                <w:szCs w:val="16"/>
                <w:lang w:val="en-GB"/>
              </w:rPr>
            </w:pPr>
            <w:r w:rsidRPr="0075608E">
              <w:rPr>
                <w:rFonts w:ascii="Arial" w:eastAsia="宋体" w:hAnsi="Arial" w:cs="Arial"/>
                <w:kern w:val="0"/>
                <w:sz w:val="16"/>
                <w:szCs w:val="16"/>
                <w:lang w:val="en-GB"/>
              </w:rPr>
              <w:t>Yeast powder and others</w:t>
            </w:r>
          </w:p>
        </w:tc>
        <w:tc>
          <w:tcPr>
            <w:tcW w:w="883"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2.76</w:t>
            </w:r>
          </w:p>
        </w:tc>
        <w:tc>
          <w:tcPr>
            <w:tcW w:w="2129"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2.83%</w:t>
            </w:r>
          </w:p>
        </w:tc>
        <w:tc>
          <w:tcPr>
            <w:tcW w:w="883"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4.91</w:t>
            </w:r>
          </w:p>
        </w:tc>
        <w:tc>
          <w:tcPr>
            <w:tcW w:w="2129"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2.03%</w:t>
            </w:r>
          </w:p>
        </w:tc>
        <w:tc>
          <w:tcPr>
            <w:tcW w:w="1080" w:type="dxa"/>
            <w:tcBorders>
              <w:top w:val="nil"/>
              <w:left w:val="nil"/>
              <w:bottom w:val="single" w:sz="4" w:space="0" w:color="auto"/>
              <w:right w:val="single" w:sz="4" w:space="0" w:color="auto"/>
            </w:tcBorders>
            <w:shd w:val="clear" w:color="auto" w:fill="auto"/>
            <w:noWrap/>
            <w:vAlign w:val="center"/>
            <w:hideMark/>
          </w:tcPr>
          <w:p w:rsidR="00344D5B" w:rsidRPr="0075608E" w:rsidRDefault="00344D5B" w:rsidP="00344D5B">
            <w:pPr>
              <w:widowControl/>
              <w:jc w:val="right"/>
              <w:rPr>
                <w:rFonts w:ascii="Arial" w:eastAsia="宋体" w:hAnsi="Arial" w:cs="Arial"/>
                <w:kern w:val="0"/>
                <w:sz w:val="16"/>
                <w:szCs w:val="16"/>
                <w:lang w:val="en-GB"/>
              </w:rPr>
            </w:pPr>
            <w:r w:rsidRPr="0075608E">
              <w:rPr>
                <w:rFonts w:ascii="Arial" w:eastAsia="宋体" w:hAnsi="Arial" w:cs="Arial"/>
                <w:kern w:val="0"/>
                <w:sz w:val="16"/>
                <w:szCs w:val="16"/>
                <w:lang w:val="en-GB"/>
              </w:rPr>
              <w:t>-43.74%</w:t>
            </w:r>
          </w:p>
        </w:tc>
      </w:tr>
    </w:tbl>
    <w:p w:rsidR="00344D5B" w:rsidRPr="0075608E" w:rsidRDefault="00344D5B" w:rsidP="00344D5B">
      <w:pPr>
        <w:spacing w:after="100"/>
        <w:jc w:val="left"/>
        <w:rPr>
          <w:lang w:val="en-GB"/>
        </w:rPr>
      </w:pPr>
      <w:r w:rsidRPr="0075608E">
        <w:rPr>
          <w:rFonts w:ascii="Arial" w:eastAsia="Arial" w:hAnsi="Arial" w:cs="Arial"/>
          <w:i/>
          <w:sz w:val="16"/>
          <w:lang w:val="en-GB"/>
        </w:rPr>
        <w:t>Source: Sanyuan Biology</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 xml:space="preserve">It's worth mentioning that Genki Forest (Beijing) Food Technology Group Co., Ltd. (Genki Forest), Sanyuan Biology's biggest customer in 2021, did not purchase erythritol from Sanyuan Biology in 2022 due to rising </w:t>
      </w:r>
      <w:r w:rsidRPr="0075608E">
        <w:rPr>
          <w:rFonts w:ascii="Arial" w:eastAsia="Arial" w:hAnsi="Arial" w:cs="Arial"/>
          <w:sz w:val="20"/>
          <w:lang w:val="en-GB"/>
        </w:rPr>
        <w:lastRenderedPageBreak/>
        <w:t>competition in the erythritol industry, moderate demand for beverages and the change in Genki Forest's operation. In 2021, Genki Forest brought USD36.74 million (RMB253.72 million) worth of erythritol from Sanyuan Biology, accounting for 15.14% of Sanyuan Biology's total sales.</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In terms of new projects, during the reporting period, the 50,000 t/a erythritol production line was constructed and entered operation, while the 2,000 t/a allulose line built in the 20,000 t/a allulose project was put into operation on 9 Dec., 2022.</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In Q1 2023, Sanyuan Biology continued to see revenue and net profit declines.</w:t>
      </w:r>
    </w:p>
    <w:p w:rsidR="002523A0" w:rsidRPr="0075608E" w:rsidRDefault="002523A0" w:rsidP="002523A0">
      <w:pPr>
        <w:rPr>
          <w:lang w:val="en-GB"/>
        </w:rPr>
      </w:pPr>
    </w:p>
    <w:p w:rsidR="002523A0" w:rsidRPr="0075608E" w:rsidRDefault="002523A0" w:rsidP="002523A0">
      <w:pPr>
        <w:spacing w:after="100"/>
        <w:jc w:val="center"/>
        <w:rPr>
          <w:lang w:val="en-GB"/>
        </w:rPr>
      </w:pPr>
      <w:r w:rsidRPr="0075608E">
        <w:rPr>
          <w:rFonts w:ascii="Arial" w:eastAsia="Arial" w:hAnsi="Arial" w:cs="Arial"/>
          <w:b/>
          <w:sz w:val="16"/>
          <w:lang w:val="en-GB"/>
        </w:rPr>
        <w:t>TABLE</w:t>
      </w:r>
      <w:r w:rsidRPr="0075608E">
        <w:rPr>
          <w:rFonts w:ascii="Arial" w:eastAsia="Arial" w:hAnsi="Arial" w:cs="Arial"/>
          <w:sz w:val="16"/>
          <w:lang w:val="en-GB"/>
        </w:rPr>
        <w:t xml:space="preserve"> 9: Sanyuan Biology's results for Q1 2023, million USD</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20" w:type="dxa"/>
          <w:left w:w="120" w:type="dxa"/>
          <w:bottom w:w="120" w:type="dxa"/>
          <w:right w:w="120" w:type="dxa"/>
        </w:tblCellMar>
        <w:tblLook w:val="04A0" w:firstRow="1" w:lastRow="0" w:firstColumn="1" w:lastColumn="0" w:noHBand="0" w:noVBand="1"/>
      </w:tblPr>
      <w:tblGrid>
        <w:gridCol w:w="4429"/>
        <w:gridCol w:w="854"/>
        <w:gridCol w:w="854"/>
        <w:gridCol w:w="1142"/>
      </w:tblGrid>
      <w:tr w:rsidR="002523A0" w:rsidRPr="0075608E" w:rsidTr="00BB2703">
        <w:trPr>
          <w:trHeight w:val="256"/>
          <w:jc w:val="center"/>
        </w:trPr>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Financial metric</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Q1 2023</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Q1 2022</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YoY change</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Revenue</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16.84</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39.48</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-57.35%</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Net profit attributable to shareholders of the listed company</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1.13</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9.09</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-87.56%</w:t>
            </w:r>
          </w:p>
        </w:tc>
      </w:tr>
      <w:tr w:rsidR="002523A0" w:rsidRPr="0075608E" w:rsidTr="00BB2703">
        <w:trPr>
          <w:jc w:val="center"/>
        </w:trPr>
        <w:tc>
          <w:tcPr>
            <w:tcW w:w="0" w:type="auto"/>
            <w:gridSpan w:val="4"/>
            <w:tcBorders>
              <w:left w:val="nil"/>
              <w:bottom w:val="nil"/>
              <w:right w:val="nil"/>
            </w:tcBorders>
          </w:tcPr>
          <w:p w:rsidR="002523A0" w:rsidRPr="0075608E" w:rsidRDefault="002523A0" w:rsidP="00BB2703">
            <w:pPr>
              <w:rPr>
                <w:lang w:val="en-GB"/>
              </w:rPr>
            </w:pPr>
            <w:r w:rsidRPr="0075608E">
              <w:rPr>
                <w:rFonts w:ascii="Arial" w:eastAsia="Arial" w:hAnsi="Arial" w:cs="Arial"/>
                <w:i/>
                <w:sz w:val="16"/>
                <w:lang w:val="en-GB"/>
              </w:rPr>
              <w:t>Source: Sanyuan Biology</w:t>
            </w:r>
          </w:p>
        </w:tc>
      </w:tr>
    </w:tbl>
    <w:p w:rsidR="002523A0" w:rsidRPr="0075608E" w:rsidRDefault="002523A0" w:rsidP="002523A0">
      <w:pPr>
        <w:rPr>
          <w:lang w:val="en-GB"/>
        </w:rPr>
      </w:pPr>
    </w:p>
    <w:p w:rsidR="002523A0" w:rsidRPr="0075608E" w:rsidRDefault="002523A0" w:rsidP="002523A0">
      <w:pPr>
        <w:pStyle w:val="2"/>
        <w:spacing w:before="0" w:after="0" w:line="360" w:lineRule="auto"/>
        <w:jc w:val="center"/>
        <w:rPr>
          <w:lang w:val="en-GB"/>
        </w:rPr>
      </w:pPr>
      <w:bookmarkStart w:id="7" w:name="_Toc136437666"/>
      <w:r w:rsidRPr="0075608E">
        <w:rPr>
          <w:rFonts w:ascii="Arial" w:eastAsia="Arial" w:hAnsi="Arial" w:cs="Arial"/>
          <w:sz w:val="20"/>
          <w:lang w:val="en-GB"/>
        </w:rPr>
        <w:t>CCGB reports sales revenue from stevia nears USD30 million in 2022</w:t>
      </w:r>
      <w:bookmarkStart w:id="8" w:name="_Toc107"/>
      <w:bookmarkEnd w:id="7"/>
      <w:bookmarkEnd w:id="8"/>
    </w:p>
    <w:p w:rsidR="002523A0" w:rsidRPr="0075608E" w:rsidRDefault="002523A0" w:rsidP="002523A0">
      <w:pPr>
        <w:rPr>
          <w:lang w:val="en-GB"/>
        </w:rPr>
      </w:pPr>
      <w:r w:rsidRPr="0075608E">
        <w:rPr>
          <w:rFonts w:ascii="Arial" w:eastAsia="Arial" w:hAnsi="Arial" w:cs="Arial"/>
          <w:sz w:val="20"/>
          <w:lang w:val="en-GB"/>
        </w:rPr>
        <w:t>Summary: Strong 2022 financial results have given CCGB momentum heading into 2023. In Q1, CCGB's revenue and net profit grew sharply.</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On 26 April, Chenguang Biotech Group Co., Ltd. (CCGB) released its Q1 2023 report.</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In the first quarter of 2023, CCGB continued its customer-centric strategy, continuously created value for customers and enhanced its influence in the industry. Sales of its main products maintained the leading position in the industry, driving the growth of the company. During the reporting period, CCGB's revenue climbed 14.71% to USD263.25 million (RMB1.82 billion) and net profit attributable to shareholders of the listed company jumped 26.30% to USD19.56 million (RMB135.04 million) as compared to Q1 2022.</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b/>
          <w:sz w:val="20"/>
          <w:lang w:val="en-GB"/>
        </w:rPr>
        <w:t>Q1 2023 business performance:</w:t>
      </w:r>
    </w:p>
    <w:p w:rsidR="002523A0" w:rsidRPr="0075608E" w:rsidRDefault="002523A0" w:rsidP="002523A0">
      <w:pPr>
        <w:ind w:left="350"/>
        <w:rPr>
          <w:lang w:val="en-GB"/>
        </w:rPr>
      </w:pPr>
      <w:r w:rsidRPr="0075608E">
        <w:rPr>
          <w:rFonts w:ascii="Arial" w:eastAsia="Arial" w:hAnsi="Arial" w:cs="Arial"/>
          <w:sz w:val="20"/>
          <w:lang w:val="en-GB"/>
        </w:rPr>
        <w:t>● The production efficiency and competitiveness of stevia continued to improve and grow stronger.</w:t>
      </w:r>
    </w:p>
    <w:p w:rsidR="002523A0" w:rsidRPr="0075608E" w:rsidRDefault="002523A0" w:rsidP="002523A0">
      <w:pPr>
        <w:ind w:left="350"/>
        <w:rPr>
          <w:lang w:val="en-GB"/>
        </w:rPr>
      </w:pPr>
      <w:r w:rsidRPr="0075608E">
        <w:rPr>
          <w:rFonts w:ascii="Arial" w:eastAsia="Arial" w:hAnsi="Arial" w:cs="Arial"/>
          <w:sz w:val="20"/>
          <w:lang w:val="en-GB"/>
        </w:rPr>
        <w:t>● The health food business brought in over USD4.34 million (RMB30 million) in sales revenue as the company continued to give full play to its advantages in raw materials and production and successfully opened new markets.</w:t>
      </w:r>
    </w:p>
    <w:p w:rsidR="002523A0" w:rsidRPr="0075608E" w:rsidRDefault="002523A0" w:rsidP="002523A0">
      <w:pPr>
        <w:ind w:left="350"/>
        <w:rPr>
          <w:lang w:val="en-GB"/>
        </w:rPr>
      </w:pPr>
      <w:r w:rsidRPr="0075608E">
        <w:rPr>
          <w:rFonts w:ascii="Arial" w:eastAsia="Arial" w:hAnsi="Arial" w:cs="Arial"/>
          <w:sz w:val="20"/>
          <w:lang w:val="en-GB"/>
        </w:rPr>
        <w:t>● CCGB marketed its paprika oleoresin according to its annual plan. In Q1, the company sold over 3,000 tonnes of paprika oleoresin.</w:t>
      </w:r>
    </w:p>
    <w:p w:rsidR="002523A0" w:rsidRPr="0075608E" w:rsidRDefault="002523A0" w:rsidP="002523A0">
      <w:pPr>
        <w:ind w:left="350"/>
        <w:rPr>
          <w:lang w:val="en-GB"/>
        </w:rPr>
      </w:pPr>
      <w:r w:rsidRPr="0075608E">
        <w:rPr>
          <w:rFonts w:ascii="Arial" w:eastAsia="Arial" w:hAnsi="Arial" w:cs="Arial"/>
          <w:sz w:val="20"/>
          <w:lang w:val="en-GB"/>
        </w:rPr>
        <w:t>● As for the lutein business, CCGB sought steady growth for this segment and actively sold high-value-added products, leading to a surge in the sales volume of food-grade lutein. Besides, its marigold planting base in China carried out the seedling raising and transplanting work and it kept expanding the planting area of marigold in India and Zambia and started the trial plantation of raw material plants in Myanmar and Laos, which further enhanced its edge in raw materials.</w:t>
      </w:r>
    </w:p>
    <w:p w:rsidR="002523A0" w:rsidRPr="0075608E" w:rsidRDefault="002523A0" w:rsidP="002523A0">
      <w:pPr>
        <w:ind w:left="350"/>
        <w:rPr>
          <w:lang w:val="en-GB"/>
        </w:rPr>
      </w:pPr>
      <w:r w:rsidRPr="0075608E">
        <w:rPr>
          <w:rFonts w:ascii="Arial" w:eastAsia="Arial" w:hAnsi="Arial" w:cs="Arial"/>
          <w:sz w:val="20"/>
          <w:lang w:val="en-GB"/>
        </w:rPr>
        <w:t>● Sales volumes of Sichuan pepper oil and pepper oleoresin grew rapidly as the demand for spices and essentials recovered significantly.</w:t>
      </w:r>
    </w:p>
    <w:p w:rsidR="002523A0" w:rsidRPr="0075608E" w:rsidRDefault="002523A0" w:rsidP="002523A0">
      <w:pPr>
        <w:ind w:left="350"/>
        <w:rPr>
          <w:lang w:val="en-GB"/>
        </w:rPr>
      </w:pPr>
      <w:r w:rsidRPr="0075608E">
        <w:rPr>
          <w:rFonts w:ascii="Arial" w:eastAsia="Arial" w:hAnsi="Arial" w:cs="Arial"/>
          <w:sz w:val="20"/>
          <w:lang w:val="en-GB"/>
        </w:rPr>
        <w:t>● Nutritional medicinal extracts sustained rapid development with different products showing various degrees of growth.</w:t>
      </w:r>
    </w:p>
    <w:p w:rsidR="002523A0" w:rsidRPr="0075608E" w:rsidRDefault="002523A0" w:rsidP="002523A0">
      <w:pPr>
        <w:ind w:left="350"/>
        <w:rPr>
          <w:lang w:val="en-GB"/>
        </w:rPr>
      </w:pPr>
      <w:r w:rsidRPr="0075608E">
        <w:rPr>
          <w:rFonts w:ascii="Arial" w:eastAsia="Arial" w:hAnsi="Arial" w:cs="Arial"/>
          <w:sz w:val="20"/>
          <w:lang w:val="en-GB"/>
        </w:rPr>
        <w:t>● CCGB continuously improved the extraction process for industrial hemp, which increased the extraction rate and strengthened the advantage in processing costs.</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Previously on 28 March, CCGB unveiled its 2022 annual report.</w:t>
      </w:r>
    </w:p>
    <w:p w:rsidR="002523A0" w:rsidRPr="0075608E" w:rsidRDefault="002523A0" w:rsidP="002523A0">
      <w:pPr>
        <w:rPr>
          <w:lang w:val="en-GB"/>
        </w:rPr>
      </w:pPr>
    </w:p>
    <w:p w:rsidR="002523A0" w:rsidRPr="0075608E" w:rsidRDefault="002523A0" w:rsidP="002523A0">
      <w:pPr>
        <w:rPr>
          <w:rFonts w:ascii="Arial" w:hAnsi="Arial" w:cs="Arial"/>
          <w:sz w:val="20"/>
          <w:lang w:val="en-GB"/>
        </w:rPr>
      </w:pPr>
      <w:r w:rsidRPr="0075608E">
        <w:rPr>
          <w:rFonts w:ascii="Arial" w:eastAsia="Arial" w:hAnsi="Arial" w:cs="Arial"/>
          <w:sz w:val="20"/>
          <w:lang w:val="en-GB"/>
        </w:rPr>
        <w:t>In 2022, CCGB generated USD911.73 million (RMB6.30 billion) in revenue and USD62.85 million (RMB434.03 million) in net profit attributable to shareholders of the listed company, a YoY increase of 29.18% and 23.48%, respectively.</w:t>
      </w:r>
    </w:p>
    <w:p w:rsidR="00940E58" w:rsidRPr="0075608E" w:rsidRDefault="00940E58" w:rsidP="002523A0">
      <w:pPr>
        <w:rPr>
          <w:rFonts w:ascii="Arial" w:hAnsi="Arial" w:cs="Arial"/>
          <w:sz w:val="20"/>
          <w:lang w:val="en-GB"/>
        </w:rPr>
      </w:pPr>
    </w:p>
    <w:p w:rsidR="00940E58" w:rsidRPr="0075608E" w:rsidRDefault="00940E58" w:rsidP="002523A0">
      <w:pPr>
        <w:rPr>
          <w:rFonts w:ascii="Arial" w:hAnsi="Arial" w:cs="Arial"/>
          <w:sz w:val="20"/>
          <w:lang w:val="en-GB"/>
        </w:rPr>
      </w:pPr>
    </w:p>
    <w:p w:rsidR="00940E58" w:rsidRPr="0075608E" w:rsidRDefault="00940E58" w:rsidP="002523A0">
      <w:pPr>
        <w:rPr>
          <w:rFonts w:ascii="Arial" w:hAnsi="Arial" w:cs="Arial"/>
          <w:sz w:val="20"/>
          <w:lang w:val="en-GB"/>
        </w:rPr>
      </w:pPr>
    </w:p>
    <w:p w:rsidR="00940E58" w:rsidRPr="0075608E" w:rsidRDefault="00940E58" w:rsidP="002523A0">
      <w:pPr>
        <w:rPr>
          <w:lang w:val="en-GB"/>
        </w:rPr>
      </w:pPr>
    </w:p>
    <w:p w:rsidR="002523A0" w:rsidRPr="0075608E" w:rsidRDefault="002523A0" w:rsidP="002523A0">
      <w:pPr>
        <w:rPr>
          <w:lang w:val="en-GB"/>
        </w:rPr>
      </w:pPr>
    </w:p>
    <w:p w:rsidR="002523A0" w:rsidRPr="0075608E" w:rsidRDefault="002523A0" w:rsidP="002523A0">
      <w:pPr>
        <w:spacing w:after="100"/>
        <w:jc w:val="center"/>
        <w:rPr>
          <w:lang w:val="en-GB"/>
        </w:rPr>
      </w:pPr>
      <w:r w:rsidRPr="0075608E">
        <w:rPr>
          <w:rFonts w:ascii="Arial" w:eastAsia="Arial" w:hAnsi="Arial" w:cs="Arial"/>
          <w:b/>
          <w:sz w:val="16"/>
          <w:lang w:val="en-GB"/>
        </w:rPr>
        <w:lastRenderedPageBreak/>
        <w:t>TABLE</w:t>
      </w:r>
      <w:r w:rsidRPr="0075608E">
        <w:rPr>
          <w:rFonts w:ascii="Arial" w:eastAsia="Arial" w:hAnsi="Arial" w:cs="Arial"/>
          <w:sz w:val="16"/>
          <w:lang w:val="en-GB"/>
        </w:rPr>
        <w:t xml:space="preserve"> 10: CCGB's revenue by product category, million USD</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20" w:type="dxa"/>
          <w:left w:w="120" w:type="dxa"/>
          <w:bottom w:w="120" w:type="dxa"/>
          <w:right w:w="120" w:type="dxa"/>
        </w:tblCellMar>
        <w:tblLook w:val="04A0" w:firstRow="1" w:lastRow="0" w:firstColumn="1" w:lastColumn="0" w:noHBand="0" w:noVBand="1"/>
      </w:tblPr>
      <w:tblGrid>
        <w:gridCol w:w="5034"/>
        <w:gridCol w:w="730"/>
        <w:gridCol w:w="730"/>
        <w:gridCol w:w="1142"/>
      </w:tblGrid>
      <w:tr w:rsidR="002523A0" w:rsidRPr="0075608E" w:rsidTr="00BB2703">
        <w:trPr>
          <w:trHeight w:val="256"/>
          <w:jc w:val="center"/>
        </w:trPr>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Product category</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2022</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2021</w:t>
            </w:r>
          </w:p>
        </w:tc>
        <w:tc>
          <w:tcPr>
            <w:tcW w:w="0" w:type="auto"/>
            <w:vMerge w:val="restart"/>
            <w:vAlign w:val="center"/>
          </w:tcPr>
          <w:p w:rsidR="002523A0" w:rsidRPr="0075608E" w:rsidRDefault="002523A0" w:rsidP="00BB2703">
            <w:pPr>
              <w:jc w:val="center"/>
              <w:rPr>
                <w:lang w:val="en-GB"/>
              </w:rPr>
            </w:pPr>
            <w:r w:rsidRPr="0075608E">
              <w:rPr>
                <w:rFonts w:ascii="Arial" w:eastAsia="Arial" w:hAnsi="Arial" w:cs="Arial"/>
                <w:b/>
                <w:sz w:val="16"/>
                <w:lang w:val="en-GB"/>
              </w:rPr>
              <w:t>YoY change</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Natural colours; spices and essentials; nutritional medicinal extracts</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384.42</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361.38</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6.37%</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Cottonseed products</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488.74</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318.62</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53.39%</w:t>
            </w:r>
          </w:p>
        </w:tc>
      </w:tr>
      <w:tr w:rsidR="002523A0" w:rsidRPr="0075608E" w:rsidTr="00BB2703">
        <w:trPr>
          <w:trHeight w:val="256"/>
          <w:jc w:val="center"/>
        </w:trPr>
        <w:tc>
          <w:tcPr>
            <w:tcW w:w="0" w:type="auto"/>
            <w:vMerge w:val="restart"/>
            <w:vAlign w:val="center"/>
          </w:tcPr>
          <w:p w:rsidR="002523A0" w:rsidRPr="0075608E" w:rsidRDefault="002523A0" w:rsidP="00BB2703">
            <w:pPr>
              <w:jc w:val="left"/>
              <w:rPr>
                <w:lang w:val="en-GB"/>
              </w:rPr>
            </w:pPr>
            <w:r w:rsidRPr="0075608E">
              <w:rPr>
                <w:rFonts w:ascii="Arial" w:eastAsia="Arial" w:hAnsi="Arial" w:cs="Arial"/>
                <w:sz w:val="16"/>
                <w:lang w:val="en-GB"/>
              </w:rPr>
              <w:t>Others</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38.58</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25.77</w:t>
            </w:r>
          </w:p>
        </w:tc>
        <w:tc>
          <w:tcPr>
            <w:tcW w:w="0" w:type="auto"/>
            <w:vMerge w:val="restart"/>
            <w:vAlign w:val="center"/>
          </w:tcPr>
          <w:p w:rsidR="002523A0" w:rsidRPr="0075608E" w:rsidRDefault="002523A0" w:rsidP="00BB2703">
            <w:pPr>
              <w:jc w:val="right"/>
              <w:rPr>
                <w:lang w:val="en-GB"/>
              </w:rPr>
            </w:pPr>
            <w:r w:rsidRPr="0075608E">
              <w:rPr>
                <w:rFonts w:ascii="Arial" w:eastAsia="Arial" w:hAnsi="Arial" w:cs="Arial"/>
                <w:sz w:val="16"/>
                <w:lang w:val="en-GB"/>
              </w:rPr>
              <w:t>49.74%</w:t>
            </w:r>
          </w:p>
        </w:tc>
      </w:tr>
      <w:tr w:rsidR="002523A0" w:rsidRPr="0075608E" w:rsidTr="00BB2703">
        <w:trPr>
          <w:jc w:val="center"/>
        </w:trPr>
        <w:tc>
          <w:tcPr>
            <w:tcW w:w="0" w:type="auto"/>
            <w:gridSpan w:val="4"/>
            <w:tcBorders>
              <w:left w:val="nil"/>
              <w:bottom w:val="nil"/>
              <w:right w:val="nil"/>
            </w:tcBorders>
          </w:tcPr>
          <w:p w:rsidR="002523A0" w:rsidRPr="0075608E" w:rsidRDefault="002523A0" w:rsidP="00BB2703">
            <w:pPr>
              <w:rPr>
                <w:lang w:val="en-GB"/>
              </w:rPr>
            </w:pPr>
            <w:r w:rsidRPr="0075608E">
              <w:rPr>
                <w:rFonts w:ascii="Arial" w:eastAsia="Arial" w:hAnsi="Arial" w:cs="Arial"/>
                <w:i/>
                <w:sz w:val="16"/>
                <w:lang w:val="en-GB"/>
              </w:rPr>
              <w:t>Source: CCGB</w:t>
            </w:r>
          </w:p>
        </w:tc>
      </w:tr>
    </w:tbl>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In 2022, CCGB's business record new highs.</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b/>
          <w:sz w:val="20"/>
          <w:lang w:val="en-GB"/>
        </w:rPr>
        <w:t>2022 business performance:</w:t>
      </w:r>
    </w:p>
    <w:p w:rsidR="002523A0" w:rsidRPr="0075608E" w:rsidRDefault="002523A0" w:rsidP="002523A0">
      <w:pPr>
        <w:ind w:left="350"/>
        <w:rPr>
          <w:lang w:val="en-GB"/>
        </w:rPr>
      </w:pPr>
      <w:r w:rsidRPr="0075608E">
        <w:rPr>
          <w:rFonts w:ascii="Arial" w:eastAsia="Arial" w:hAnsi="Arial" w:cs="Arial"/>
          <w:sz w:val="20"/>
          <w:lang w:val="en-GB"/>
        </w:rPr>
        <w:t>● As the company improved the production process, adopted delicacy management and established stable cooperative relations with many major customers at home and abroad, sales of stevia products exceeded USD29.83 million (RMB206 million) in 2022, greatly enhancing CCGB's influence in the industry. The sales revenue from the health food business soared 80% YoY to USD12.04 million (RMB83.15 million).</w:t>
      </w:r>
    </w:p>
    <w:p w:rsidR="002523A0" w:rsidRPr="0075608E" w:rsidRDefault="002523A0" w:rsidP="002523A0">
      <w:pPr>
        <w:ind w:left="350"/>
        <w:rPr>
          <w:lang w:val="en-GB"/>
        </w:rPr>
      </w:pPr>
      <w:r w:rsidRPr="0075608E">
        <w:rPr>
          <w:rFonts w:ascii="Arial" w:eastAsia="Arial" w:hAnsi="Arial" w:cs="Arial"/>
          <w:sz w:val="20"/>
          <w:lang w:val="en-GB"/>
        </w:rPr>
        <w:t>● The paprika oleoresin business showed a stronger lead with a sales volume of 8,257 tonnes. CCGB purchased cost-effective raw material, Indian pepper, which further enhanced the competitive advantages of the company.</w:t>
      </w:r>
    </w:p>
    <w:p w:rsidR="002523A0" w:rsidRPr="0075608E" w:rsidRDefault="002523A0" w:rsidP="002523A0">
      <w:pPr>
        <w:ind w:left="350"/>
        <w:rPr>
          <w:lang w:val="en-GB"/>
        </w:rPr>
      </w:pPr>
      <w:r w:rsidRPr="0075608E">
        <w:rPr>
          <w:rFonts w:ascii="Arial" w:eastAsia="Arial" w:hAnsi="Arial" w:cs="Arial"/>
          <w:sz w:val="20"/>
          <w:lang w:val="en-GB"/>
        </w:rPr>
        <w:t>● The sales volume of food-grade lutein increased by 16% YoY; sales of lycopene recorded a new high of 26 tonnes (converted); the sales revenue from rosemary extract surged 80% YoY to USD1.73 million (RMB11.96 million) and that from silymarin doubled from the previous year to USD5.21 million (RMB36 million).</w:t>
      </w:r>
    </w:p>
    <w:p w:rsidR="002523A0" w:rsidRPr="0075608E" w:rsidRDefault="002523A0" w:rsidP="002523A0">
      <w:pPr>
        <w:ind w:left="350"/>
        <w:rPr>
          <w:lang w:val="en-GB"/>
        </w:rPr>
      </w:pPr>
      <w:r w:rsidRPr="0075608E">
        <w:rPr>
          <w:rFonts w:ascii="Arial" w:eastAsia="Arial" w:hAnsi="Arial" w:cs="Arial"/>
          <w:sz w:val="20"/>
          <w:lang w:val="en-GB"/>
        </w:rPr>
        <w:t>● Its subsidiary Xinjiang Chenguang Biotech Co., Ltd. processed more than 630,000 tonnes of cottonseed, generating USD510.04 million (RMB3.52 billion) in sales revenue, a YoY increase of 50%.</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In 2022, CCGB continued to upgrade its production technology and equipment to strengthen its core competitiveness; CCGB invested over USD2.17 million (RMB15 million) to upgrade the stevia production line, which significantly increased the product yield and reduced the production costs; the feeding capacity of the refining workshop located in the Yanqi Hui Autonomous County, Xinjiang Uygur Autonomous Region progressed towards 1,200 tonnes of pepper granules a day, reducing 10% of production costs; the extraction workshop saw a multiplication of rosemary feeding capacity and a plunge in production costs; the four cottonseed production lines had lower energy consumption and improved indicators and produced products with higher quality. The cost for the processing of cottonseed was reduced by USD4.92 (RMB34) per tonne.</w:t>
      </w:r>
    </w:p>
    <w:p w:rsidR="002523A0" w:rsidRPr="0075608E" w:rsidRDefault="002523A0" w:rsidP="002523A0">
      <w:pPr>
        <w:rPr>
          <w:lang w:val="en-GB"/>
        </w:rPr>
      </w:pPr>
    </w:p>
    <w:p w:rsidR="002523A0" w:rsidRPr="0075608E" w:rsidRDefault="002523A0" w:rsidP="002523A0">
      <w:pPr>
        <w:rPr>
          <w:lang w:val="en-GB"/>
        </w:rPr>
      </w:pPr>
      <w:r w:rsidRPr="0075608E">
        <w:rPr>
          <w:rFonts w:ascii="Arial" w:eastAsia="Arial" w:hAnsi="Arial" w:cs="Arial"/>
          <w:sz w:val="20"/>
          <w:lang w:val="en-GB"/>
        </w:rPr>
        <w:t>Currently, CCGB is mainly producing 14,800 tonnes of paprika oleoresin and pepper essential oil, 4,000 tonnes of lutein and 1,500 tonnes of stevia and processing 1.11 million tonnes of cottonseed products on a yearly basis.</w:t>
      </w:r>
    </w:p>
    <w:p w:rsidR="002523A0" w:rsidRPr="0075608E" w:rsidRDefault="002523A0" w:rsidP="002523A0">
      <w:pPr>
        <w:rPr>
          <w:lang w:val="en-GB"/>
        </w:rPr>
      </w:pPr>
    </w:p>
    <w:p w:rsidR="00423BB3" w:rsidRPr="0075608E" w:rsidRDefault="00423BB3">
      <w:pPr>
        <w:rPr>
          <w:lang w:val="en-GB"/>
        </w:rPr>
      </w:pPr>
    </w:p>
    <w:p w:rsidR="00423BB3" w:rsidRPr="0075608E" w:rsidRDefault="00BC3BCD">
      <w:pPr>
        <w:pStyle w:val="1"/>
        <w:pageBreakBefore/>
        <w:spacing w:before="0" w:after="0" w:line="360" w:lineRule="auto"/>
        <w:jc w:val="center"/>
        <w:rPr>
          <w:lang w:val="en-GB"/>
        </w:rPr>
      </w:pPr>
      <w:bookmarkStart w:id="9" w:name="_Toc136437667"/>
      <w:r w:rsidRPr="0075608E">
        <w:rPr>
          <w:rFonts w:ascii="Arial" w:eastAsia="Arial" w:hAnsi="Arial" w:cs="Arial"/>
          <w:sz w:val="20"/>
          <w:lang w:val="en-GB"/>
        </w:rPr>
        <w:lastRenderedPageBreak/>
        <w:t>Price Update</w:t>
      </w:r>
      <w:bookmarkStart w:id="10" w:name="_Toc114"/>
      <w:bookmarkEnd w:id="9"/>
      <w:bookmarkEnd w:id="10"/>
    </w:p>
    <w:p w:rsidR="0088545F" w:rsidRPr="0075608E" w:rsidRDefault="0088545F" w:rsidP="0088545F">
      <w:pPr>
        <w:pStyle w:val="2"/>
        <w:spacing w:before="0" w:after="0" w:line="360" w:lineRule="auto"/>
        <w:jc w:val="center"/>
        <w:rPr>
          <w:lang w:val="en-GB"/>
        </w:rPr>
      </w:pPr>
      <w:bookmarkStart w:id="11" w:name="_Toc136437668"/>
      <w:r w:rsidRPr="0075608E">
        <w:rPr>
          <w:rFonts w:ascii="Arial" w:eastAsia="Arial" w:hAnsi="Arial" w:cs="Arial"/>
          <w:sz w:val="20"/>
          <w:lang w:val="en-GB"/>
        </w:rPr>
        <w:t>Ex-works prices of sweeteners in China, May 2023</w:t>
      </w:r>
      <w:bookmarkEnd w:id="11"/>
    </w:p>
    <w:p w:rsidR="0088545F" w:rsidRPr="0075608E" w:rsidRDefault="0088545F" w:rsidP="0088545F">
      <w:pPr>
        <w:spacing w:after="100"/>
        <w:jc w:val="center"/>
        <w:rPr>
          <w:lang w:val="en-GB"/>
        </w:rPr>
      </w:pPr>
      <w:r w:rsidRPr="0075608E">
        <w:rPr>
          <w:rFonts w:ascii="Arial" w:eastAsia="Arial" w:hAnsi="Arial" w:cs="Arial"/>
          <w:b/>
          <w:sz w:val="16"/>
          <w:lang w:val="en-GB"/>
        </w:rPr>
        <w:t>TABLE</w:t>
      </w:r>
      <w:r w:rsidRPr="0075608E">
        <w:rPr>
          <w:rFonts w:ascii="Arial" w:eastAsia="Arial" w:hAnsi="Arial" w:cs="Arial"/>
          <w:sz w:val="16"/>
          <w:lang w:val="en-GB"/>
        </w:rPr>
        <w:t xml:space="preserve"> 12: Ex-works prices of sweeteners in China, May 2023</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20" w:type="dxa"/>
          <w:left w:w="120" w:type="dxa"/>
          <w:bottom w:w="120" w:type="dxa"/>
          <w:right w:w="120" w:type="dxa"/>
        </w:tblCellMar>
        <w:tblLook w:val="04A0" w:firstRow="1" w:lastRow="0" w:firstColumn="1" w:lastColumn="0" w:noHBand="0" w:noVBand="1"/>
      </w:tblPr>
      <w:tblGrid>
        <w:gridCol w:w="498"/>
        <w:gridCol w:w="2012"/>
        <w:gridCol w:w="1183"/>
        <w:gridCol w:w="1199"/>
        <w:gridCol w:w="1675"/>
        <w:gridCol w:w="1857"/>
        <w:gridCol w:w="1455"/>
      </w:tblGrid>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b/>
                <w:sz w:val="16"/>
                <w:lang w:val="en-GB"/>
              </w:rPr>
              <w:t>No.</w:t>
            </w:r>
          </w:p>
        </w:tc>
        <w:tc>
          <w:tcPr>
            <w:tcW w:w="0" w:type="auto"/>
            <w:vMerge w:val="restart"/>
            <w:vAlign w:val="center"/>
          </w:tcPr>
          <w:p w:rsidR="0088545F" w:rsidRPr="0075608E" w:rsidRDefault="0088545F" w:rsidP="00BB2703">
            <w:pPr>
              <w:jc w:val="center"/>
              <w:rPr>
                <w:lang w:val="en-GB"/>
              </w:rPr>
            </w:pPr>
            <w:r w:rsidRPr="0075608E">
              <w:rPr>
                <w:rFonts w:ascii="Arial" w:eastAsia="Arial" w:hAnsi="Arial" w:cs="Arial"/>
                <w:b/>
                <w:sz w:val="16"/>
                <w:lang w:val="en-GB"/>
              </w:rPr>
              <w:t>Product</w:t>
            </w:r>
          </w:p>
        </w:tc>
        <w:tc>
          <w:tcPr>
            <w:tcW w:w="0" w:type="auto"/>
            <w:vMerge w:val="restart"/>
            <w:vAlign w:val="center"/>
          </w:tcPr>
          <w:p w:rsidR="0088545F" w:rsidRPr="0075608E" w:rsidRDefault="0088545F" w:rsidP="00BB2703">
            <w:pPr>
              <w:jc w:val="center"/>
              <w:rPr>
                <w:lang w:val="en-GB"/>
              </w:rPr>
            </w:pPr>
            <w:r w:rsidRPr="0075608E">
              <w:rPr>
                <w:rFonts w:ascii="Arial" w:eastAsia="Arial" w:hAnsi="Arial" w:cs="Arial"/>
                <w:b/>
                <w:sz w:val="16"/>
                <w:lang w:val="en-GB"/>
              </w:rPr>
              <w:t>Price in May 2023, USD/t</w:t>
            </w:r>
          </w:p>
        </w:tc>
        <w:tc>
          <w:tcPr>
            <w:tcW w:w="0" w:type="auto"/>
            <w:vMerge w:val="restart"/>
            <w:vAlign w:val="center"/>
          </w:tcPr>
          <w:p w:rsidR="0088545F" w:rsidRPr="0075608E" w:rsidRDefault="0088545F" w:rsidP="00BB2703">
            <w:pPr>
              <w:jc w:val="center"/>
              <w:rPr>
                <w:lang w:val="en-GB"/>
              </w:rPr>
            </w:pPr>
            <w:r w:rsidRPr="0075608E">
              <w:rPr>
                <w:rFonts w:ascii="Arial" w:eastAsia="Arial" w:hAnsi="Arial" w:cs="Arial"/>
                <w:b/>
                <w:sz w:val="16"/>
                <w:lang w:val="en-GB"/>
              </w:rPr>
              <w:t>Price in April 2023, USD/t</w:t>
            </w:r>
          </w:p>
        </w:tc>
        <w:tc>
          <w:tcPr>
            <w:tcW w:w="0" w:type="auto"/>
            <w:vMerge w:val="restart"/>
            <w:vAlign w:val="center"/>
          </w:tcPr>
          <w:p w:rsidR="0088545F" w:rsidRPr="0075608E" w:rsidRDefault="0088545F" w:rsidP="00BB2703">
            <w:pPr>
              <w:jc w:val="center"/>
              <w:rPr>
                <w:lang w:val="en-GB"/>
              </w:rPr>
            </w:pPr>
            <w:r w:rsidRPr="0075608E">
              <w:rPr>
                <w:rFonts w:ascii="Arial" w:eastAsia="Arial" w:hAnsi="Arial" w:cs="Arial"/>
                <w:b/>
                <w:sz w:val="16"/>
                <w:lang w:val="en-GB"/>
              </w:rPr>
              <w:t>Sweetness compared with sucrose</w:t>
            </w:r>
          </w:p>
        </w:tc>
        <w:tc>
          <w:tcPr>
            <w:tcW w:w="0" w:type="auto"/>
            <w:vMerge w:val="restart"/>
            <w:vAlign w:val="center"/>
          </w:tcPr>
          <w:p w:rsidR="0088545F" w:rsidRPr="0075608E" w:rsidRDefault="0088545F" w:rsidP="00BB2703">
            <w:pPr>
              <w:jc w:val="center"/>
              <w:rPr>
                <w:lang w:val="en-GB"/>
              </w:rPr>
            </w:pPr>
            <w:r w:rsidRPr="0075608E">
              <w:rPr>
                <w:rFonts w:ascii="Arial" w:eastAsia="Arial" w:hAnsi="Arial" w:cs="Arial"/>
                <w:b/>
                <w:sz w:val="16"/>
                <w:lang w:val="en-GB"/>
              </w:rPr>
              <w:t>Price of unit sweetness in May 2023, USD/t</w:t>
            </w:r>
          </w:p>
        </w:tc>
        <w:tc>
          <w:tcPr>
            <w:tcW w:w="0" w:type="auto"/>
            <w:vMerge w:val="restart"/>
            <w:vAlign w:val="center"/>
          </w:tcPr>
          <w:p w:rsidR="0088545F" w:rsidRPr="0075608E" w:rsidRDefault="0088545F" w:rsidP="00BB2703">
            <w:pPr>
              <w:jc w:val="center"/>
              <w:rPr>
                <w:lang w:val="en-GB"/>
              </w:rPr>
            </w:pPr>
            <w:r w:rsidRPr="0075608E">
              <w:rPr>
                <w:rFonts w:ascii="Arial" w:eastAsia="Arial" w:hAnsi="Arial" w:cs="Arial"/>
                <w:b/>
                <w:sz w:val="16"/>
                <w:lang w:val="en-GB"/>
              </w:rPr>
              <w:t>MoM change of price in May 2023</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1</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Saccharin</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7,530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7,558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400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18.83</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-0.37%</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2</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Steviol glycosides (RA95)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46,341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46,508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300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154.47</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-0.36%</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3</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Sucralose</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23,170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24,708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600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38.62</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-6.22%</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4</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Acesulfame-K</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7,530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7,994</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200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37.65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-5.80%</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5</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Aspartame</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11,585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11,627</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200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57.93</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-0.36%</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6</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Cyclamate (NF13)</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2,607</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2,616</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86.89</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-0.36%</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7</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Glycyrrhizin (tripotassium glycyrrhizinate)</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10,861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10,900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150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72.41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-0.36%</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8</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Neotame (98%)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37,652</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37,788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8,000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4.71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-0.36%</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9</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Sucrose</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1,032</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978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1,031.66</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5.49%</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10</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Erythritol</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1,521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1,599</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0.65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2,339.31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-4.91%</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11</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Mannitol (food grade)</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3,403</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3,415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0.7</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4,861.62</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-0.35%</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12</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FOS (fructo oligosaccharide, powder 95%)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4,779</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4,796</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15,929.56</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-0.36%</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13</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XOS (xylo oligosaccharide, powder 95%)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24,618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24,708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0.4</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61,546.04</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-0.36%</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14</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Crystalline maltitol</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1,883</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1,889</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5,378.81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-0.34%</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15</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Crystalline sorbitol</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1,119</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1,152</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2,237.38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-2.89%</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16</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Maltose syrup (75%, liquid)</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419</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421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0.9</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465.01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-0.59%</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17</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Sorbitol (70%, liquid)</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536</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545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0.7</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765.45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-1.69%</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18</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HFCS (fructose: 55%, liquid)</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463</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465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463.41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-0.34%</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19</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HFCS (fructose: 42%, liquid)</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405</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421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1.1</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368.62</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-3.69%</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20</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Maltitol (75%, liquid )</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608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618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0.9</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675.80</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-1.58%</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21</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Glucose monohydrate</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536</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538</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0.74</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724.07</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-0.41%</w:t>
            </w:r>
          </w:p>
        </w:tc>
      </w:tr>
      <w:tr w:rsidR="0088545F" w:rsidRPr="0075608E" w:rsidTr="00BB2703">
        <w:trPr>
          <w:trHeight w:val="256"/>
          <w:jc w:val="center"/>
        </w:trPr>
        <w:tc>
          <w:tcPr>
            <w:tcW w:w="0" w:type="auto"/>
            <w:vMerge w:val="restart"/>
            <w:vAlign w:val="center"/>
          </w:tcPr>
          <w:p w:rsidR="0088545F" w:rsidRPr="0075608E" w:rsidRDefault="0088545F" w:rsidP="00BB2703">
            <w:pPr>
              <w:jc w:val="center"/>
              <w:rPr>
                <w:lang w:val="en-GB"/>
              </w:rPr>
            </w:pPr>
            <w:r w:rsidRPr="0075608E">
              <w:rPr>
                <w:rFonts w:ascii="Arial" w:eastAsia="Arial" w:hAnsi="Arial" w:cs="Arial"/>
                <w:sz w:val="16"/>
                <w:lang w:val="en-GB"/>
              </w:rPr>
              <w:t>22</w:t>
            </w:r>
          </w:p>
        </w:tc>
        <w:tc>
          <w:tcPr>
            <w:tcW w:w="0" w:type="auto"/>
            <w:vMerge w:val="restart"/>
            <w:vAlign w:val="center"/>
          </w:tcPr>
          <w:p w:rsidR="0088545F" w:rsidRPr="0075608E" w:rsidRDefault="0088545F" w:rsidP="00BB2703">
            <w:pPr>
              <w:jc w:val="left"/>
              <w:rPr>
                <w:lang w:val="en-GB"/>
              </w:rPr>
            </w:pPr>
            <w:r w:rsidRPr="0075608E">
              <w:rPr>
                <w:rFonts w:ascii="Arial" w:eastAsia="Arial" w:hAnsi="Arial" w:cs="Arial"/>
                <w:sz w:val="16"/>
                <w:lang w:val="en-GB"/>
              </w:rPr>
              <w:t>Crystalline xylitol</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3,519</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3,532</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1.2</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2,932.49</w:t>
            </w:r>
          </w:p>
        </w:tc>
        <w:tc>
          <w:tcPr>
            <w:tcW w:w="0" w:type="auto"/>
            <w:vMerge w:val="restart"/>
            <w:vAlign w:val="center"/>
          </w:tcPr>
          <w:p w:rsidR="0088545F" w:rsidRPr="0075608E" w:rsidRDefault="0088545F" w:rsidP="00BB2703">
            <w:pPr>
              <w:jc w:val="right"/>
              <w:rPr>
                <w:lang w:val="en-GB"/>
              </w:rPr>
            </w:pPr>
            <w:r w:rsidRPr="0075608E">
              <w:rPr>
                <w:rFonts w:ascii="Arial" w:eastAsia="Arial" w:hAnsi="Arial" w:cs="Arial"/>
                <w:sz w:val="16"/>
                <w:lang w:val="en-GB"/>
              </w:rPr>
              <w:t>-0.37%</w:t>
            </w:r>
          </w:p>
        </w:tc>
      </w:tr>
      <w:tr w:rsidR="0088545F" w:rsidRPr="0075608E" w:rsidTr="00BB2703">
        <w:trPr>
          <w:jc w:val="center"/>
        </w:trPr>
        <w:tc>
          <w:tcPr>
            <w:tcW w:w="0" w:type="auto"/>
            <w:gridSpan w:val="7"/>
            <w:tcBorders>
              <w:left w:val="nil"/>
              <w:bottom w:val="nil"/>
              <w:right w:val="nil"/>
            </w:tcBorders>
          </w:tcPr>
          <w:p w:rsidR="0088545F" w:rsidRPr="0075608E" w:rsidRDefault="0088545F" w:rsidP="00BB2703">
            <w:pPr>
              <w:rPr>
                <w:lang w:val="en-GB"/>
              </w:rPr>
            </w:pPr>
            <w:r w:rsidRPr="0075608E">
              <w:rPr>
                <w:rFonts w:ascii="Arial" w:eastAsia="Arial" w:hAnsi="Arial" w:cs="Arial"/>
                <w:i/>
                <w:sz w:val="16"/>
                <w:lang w:val="en-GB"/>
              </w:rPr>
              <w:t>Source: CCM</w:t>
            </w:r>
          </w:p>
        </w:tc>
      </w:tr>
    </w:tbl>
    <w:p w:rsidR="0088545F" w:rsidRPr="0075608E" w:rsidRDefault="0088545F" w:rsidP="0088545F">
      <w:pPr>
        <w:rPr>
          <w:lang w:val="en-GB"/>
        </w:rPr>
      </w:pPr>
    </w:p>
    <w:p w:rsidR="0088545F" w:rsidRPr="0075608E" w:rsidRDefault="0088545F" w:rsidP="0088545F">
      <w:pPr>
        <w:pStyle w:val="2"/>
        <w:spacing w:before="0" w:after="0" w:line="360" w:lineRule="auto"/>
        <w:jc w:val="center"/>
        <w:rPr>
          <w:rFonts w:ascii="Arial" w:eastAsiaTheme="minorEastAsia" w:hAnsi="Arial" w:cs="Arial"/>
          <w:sz w:val="20"/>
          <w:lang w:val="en-GB"/>
        </w:rPr>
      </w:pPr>
      <w:bookmarkStart w:id="12" w:name="_Toc136437669"/>
      <w:r w:rsidRPr="0075608E">
        <w:rPr>
          <w:rFonts w:ascii="Arial" w:eastAsia="Arial" w:hAnsi="Arial" w:cs="Arial"/>
          <w:sz w:val="20"/>
          <w:lang w:val="en-GB"/>
        </w:rPr>
        <w:t>Ex-works prices of sucralose and acesulfame-K continue downward trend</w:t>
      </w:r>
      <w:bookmarkEnd w:id="12"/>
    </w:p>
    <w:p w:rsidR="0088545F" w:rsidRPr="0075608E" w:rsidRDefault="0088545F" w:rsidP="0088545F">
      <w:pPr>
        <w:rPr>
          <w:lang w:val="en-GB"/>
        </w:rPr>
      </w:pPr>
    </w:p>
    <w:p w:rsidR="0088545F" w:rsidRPr="0075608E" w:rsidRDefault="0088545F" w:rsidP="0088545F">
      <w:pPr>
        <w:rPr>
          <w:lang w:val="en-GB"/>
        </w:rPr>
      </w:pPr>
      <w:r w:rsidRPr="0075608E">
        <w:rPr>
          <w:rFonts w:ascii="Arial" w:eastAsia="Arial" w:hAnsi="Arial" w:cs="Arial"/>
          <w:sz w:val="20"/>
          <w:lang w:val="en-GB"/>
        </w:rPr>
        <w:t>Summary: In May, the ex-works prices of acesulfame-K and sucralose continued to slip.</w:t>
      </w:r>
    </w:p>
    <w:p w:rsidR="0088545F" w:rsidRPr="0075608E" w:rsidRDefault="0088545F" w:rsidP="0088545F">
      <w:pPr>
        <w:rPr>
          <w:rFonts w:ascii="Arial" w:hAnsi="Arial" w:cs="Arial"/>
          <w:sz w:val="20"/>
          <w:lang w:val="en-GB"/>
        </w:rPr>
      </w:pPr>
    </w:p>
    <w:p w:rsidR="0088545F" w:rsidRPr="0075608E" w:rsidRDefault="0088545F" w:rsidP="0088545F">
      <w:pPr>
        <w:rPr>
          <w:lang w:val="en-GB"/>
        </w:rPr>
      </w:pPr>
      <w:r w:rsidRPr="0075608E">
        <w:rPr>
          <w:rFonts w:ascii="Arial" w:eastAsia="Arial" w:hAnsi="Arial" w:cs="Arial"/>
          <w:sz w:val="20"/>
          <w:lang w:val="en-GB"/>
        </w:rPr>
        <w:t>In May, the ex-works prices of acesulfame-K and sucralose continued on a downward trend due to sufficient supply and the drop in raw material prices. This month, the ex-works prices of sucralose and acesulfame averaged at USD23,170/t and USD7,530/t, respectively.</w:t>
      </w:r>
    </w:p>
    <w:p w:rsidR="0088545F" w:rsidRPr="0075608E" w:rsidRDefault="0088545F" w:rsidP="0088545F">
      <w:pPr>
        <w:rPr>
          <w:lang w:val="en-GB"/>
        </w:rPr>
      </w:pPr>
    </w:p>
    <w:p w:rsidR="0088545F" w:rsidRPr="0075608E" w:rsidRDefault="0088545F" w:rsidP="0088545F">
      <w:pPr>
        <w:rPr>
          <w:lang w:val="en-GB"/>
        </w:rPr>
      </w:pPr>
      <w:r w:rsidRPr="0075608E">
        <w:rPr>
          <w:rFonts w:ascii="Arial" w:eastAsia="Arial" w:hAnsi="Arial" w:cs="Arial"/>
          <w:b/>
          <w:sz w:val="20"/>
          <w:lang w:val="en-GB"/>
        </w:rPr>
        <w:t>Sucralose</w:t>
      </w:r>
    </w:p>
    <w:p w:rsidR="0088545F" w:rsidRPr="0075608E" w:rsidRDefault="0088545F" w:rsidP="0088545F">
      <w:pPr>
        <w:ind w:left="350"/>
        <w:rPr>
          <w:lang w:val="en-GB"/>
        </w:rPr>
      </w:pPr>
      <w:r w:rsidRPr="0075608E">
        <w:rPr>
          <w:rFonts w:ascii="Arial" w:eastAsia="Arial" w:hAnsi="Arial" w:cs="Arial"/>
          <w:sz w:val="20"/>
          <w:lang w:val="en-GB"/>
        </w:rPr>
        <w:t>● Supply: Major sucralose manufacturers were under normal production in May. The market supply was relatively sufficient. The inventory was basically flat.</w:t>
      </w:r>
    </w:p>
    <w:p w:rsidR="0088545F" w:rsidRPr="0075608E" w:rsidRDefault="0088545F" w:rsidP="0088545F">
      <w:pPr>
        <w:ind w:left="350"/>
        <w:rPr>
          <w:lang w:val="en-GB"/>
        </w:rPr>
      </w:pPr>
      <w:r w:rsidRPr="0075608E">
        <w:rPr>
          <w:rFonts w:ascii="Arial" w:eastAsia="Arial" w:hAnsi="Arial" w:cs="Arial"/>
          <w:sz w:val="20"/>
          <w:lang w:val="en-GB"/>
        </w:rPr>
        <w:t>● Demand: The demand for sucralose was still weak. As the weather was not very hot yet, demand from the beverage sector saw no substantial increase.</w:t>
      </w:r>
    </w:p>
    <w:p w:rsidR="0088545F" w:rsidRPr="0075608E" w:rsidRDefault="0088545F" w:rsidP="0088545F">
      <w:pPr>
        <w:ind w:left="350"/>
        <w:rPr>
          <w:lang w:val="en-GB"/>
        </w:rPr>
      </w:pPr>
      <w:r w:rsidRPr="0075608E">
        <w:rPr>
          <w:rFonts w:ascii="Arial" w:eastAsia="Arial" w:hAnsi="Arial" w:cs="Arial"/>
          <w:sz w:val="20"/>
          <w:lang w:val="en-GB"/>
        </w:rPr>
        <w:t>● Costs: Prices of main raw materials such as white granulated sugar, N,N-Dimethylformamide (DMF) and thionyl chloride decreased to various degrees, resulting in a slip in the costs of sucralose.</w:t>
      </w:r>
    </w:p>
    <w:p w:rsidR="0088545F" w:rsidRPr="0075608E" w:rsidRDefault="0088545F" w:rsidP="0088545F">
      <w:pPr>
        <w:rPr>
          <w:lang w:val="en-GB"/>
        </w:rPr>
      </w:pPr>
    </w:p>
    <w:p w:rsidR="0088545F" w:rsidRPr="0075608E" w:rsidRDefault="0088545F" w:rsidP="0088545F">
      <w:pPr>
        <w:rPr>
          <w:lang w:val="en-GB"/>
        </w:rPr>
      </w:pPr>
      <w:r w:rsidRPr="0075608E">
        <w:rPr>
          <w:rFonts w:ascii="Arial" w:eastAsia="Arial" w:hAnsi="Arial" w:cs="Arial"/>
          <w:sz w:val="20"/>
          <w:lang w:val="en-GB"/>
        </w:rPr>
        <w:t>But the sucralose price is expected to bottom out.</w:t>
      </w:r>
    </w:p>
    <w:p w:rsidR="0088545F" w:rsidRPr="0075608E" w:rsidRDefault="0088545F" w:rsidP="0088545F">
      <w:pPr>
        <w:ind w:left="350"/>
        <w:rPr>
          <w:lang w:val="en-GB"/>
        </w:rPr>
      </w:pPr>
      <w:r w:rsidRPr="0075608E">
        <w:rPr>
          <w:rFonts w:ascii="Arial" w:eastAsia="Arial" w:hAnsi="Arial" w:cs="Arial"/>
          <w:sz w:val="20"/>
          <w:lang w:val="en-GB"/>
        </w:rPr>
        <w:t>● The price of sucralose has fallen below the costs. The sucralose industry is at a loss. There is not much room for the price to fall, a sign that the sucralose price may have already reached the bottom.</w:t>
      </w:r>
    </w:p>
    <w:p w:rsidR="0088545F" w:rsidRPr="0075608E" w:rsidRDefault="0088545F" w:rsidP="0088545F">
      <w:pPr>
        <w:ind w:left="350"/>
        <w:rPr>
          <w:lang w:val="en-GB"/>
        </w:rPr>
      </w:pPr>
      <w:r w:rsidRPr="0075608E">
        <w:rPr>
          <w:rFonts w:ascii="Arial" w:eastAsia="Arial" w:hAnsi="Arial" w:cs="Arial"/>
          <w:sz w:val="20"/>
          <w:lang w:val="en-GB"/>
        </w:rPr>
        <w:t>● Besides, the peak beverage season is coming as the weather is getting hotter and the industry has a low inventory as it has reduced inventory. The growing demand for beverages will motivate sweetener procurement.</w:t>
      </w:r>
    </w:p>
    <w:p w:rsidR="0088545F" w:rsidRPr="0075608E" w:rsidRDefault="0088545F" w:rsidP="0088545F">
      <w:pPr>
        <w:ind w:left="350"/>
        <w:rPr>
          <w:lang w:val="en-GB"/>
        </w:rPr>
      </w:pPr>
      <w:r w:rsidRPr="0075608E">
        <w:rPr>
          <w:rFonts w:ascii="Arial" w:eastAsia="Arial" w:hAnsi="Arial" w:cs="Arial"/>
          <w:sz w:val="20"/>
          <w:lang w:val="en-GB"/>
        </w:rPr>
        <w:t>● Sucralose factories normally suspend production for overhaul during June and July.</w:t>
      </w:r>
    </w:p>
    <w:p w:rsidR="0088545F" w:rsidRPr="0075608E" w:rsidRDefault="0088545F" w:rsidP="0088545F">
      <w:pPr>
        <w:rPr>
          <w:lang w:val="en-GB"/>
        </w:rPr>
      </w:pPr>
    </w:p>
    <w:p w:rsidR="0088545F" w:rsidRPr="0075608E" w:rsidRDefault="0088545F" w:rsidP="0088545F">
      <w:pPr>
        <w:spacing w:after="100"/>
        <w:jc w:val="center"/>
        <w:rPr>
          <w:lang w:val="en-GB"/>
        </w:rPr>
      </w:pPr>
      <w:r w:rsidRPr="0075608E">
        <w:rPr>
          <w:rFonts w:ascii="Arial" w:eastAsia="Arial" w:hAnsi="Arial" w:cs="Arial"/>
          <w:b/>
          <w:sz w:val="16"/>
          <w:lang w:val="en-GB"/>
        </w:rPr>
        <w:t>FIGURE</w:t>
      </w:r>
      <w:r w:rsidRPr="0075608E">
        <w:rPr>
          <w:rFonts w:ascii="Arial" w:eastAsia="Arial" w:hAnsi="Arial" w:cs="Arial"/>
          <w:sz w:val="16"/>
          <w:lang w:val="en-GB"/>
        </w:rPr>
        <w:t xml:space="preserve"> 1: Ex-works price of sucralose in China, Jan. 2021–May 2023</w:t>
      </w:r>
    </w:p>
    <w:p w:rsidR="0088545F" w:rsidRPr="0075608E" w:rsidRDefault="0088545F" w:rsidP="0088545F">
      <w:pPr>
        <w:jc w:val="center"/>
        <w:rPr>
          <w:lang w:val="en-GB"/>
        </w:rPr>
      </w:pPr>
      <w:r w:rsidRPr="0075608E">
        <w:rPr>
          <w:noProof/>
          <w:lang w:val="en-GB"/>
        </w:rPr>
        <w:drawing>
          <wp:inline distT="0" distB="0" distL="0" distR="0" wp14:anchorId="7C181E45" wp14:editId="444E2777">
            <wp:extent cx="6350000" cy="3175000"/>
            <wp:effectExtent l="0" t="0" r="0" b="0"/>
            <wp:docPr id="2" name="Drawing 1" descr="image"/>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0"/>
                    <a:stretch>
                      <a:fillRect/>
                    </a:stretch>
                  </pic:blipFill>
                  <pic:spPr>
                    <a:xfrm>
                      <a:off x="0" y="0"/>
                      <a:ext cx="6350000" cy="3175000"/>
                    </a:xfrm>
                    <a:prstGeom prst="rect">
                      <a:avLst/>
                    </a:prstGeom>
                  </pic:spPr>
                </pic:pic>
              </a:graphicData>
            </a:graphic>
          </wp:inline>
        </w:drawing>
      </w:r>
    </w:p>
    <w:p w:rsidR="0088545F" w:rsidRPr="0075608E" w:rsidRDefault="0088545F" w:rsidP="0088545F">
      <w:pPr>
        <w:rPr>
          <w:lang w:val="en-GB"/>
        </w:rPr>
      </w:pPr>
      <w:r w:rsidRPr="0075608E">
        <w:rPr>
          <w:rFonts w:ascii="Arial" w:eastAsia="Arial" w:hAnsi="Arial" w:cs="Arial"/>
          <w:i/>
          <w:sz w:val="16"/>
          <w:lang w:val="en-GB"/>
        </w:rPr>
        <w:t>Source:CCM</w:t>
      </w:r>
    </w:p>
    <w:p w:rsidR="0088545F" w:rsidRPr="0075608E" w:rsidRDefault="0088545F" w:rsidP="0088545F">
      <w:pPr>
        <w:rPr>
          <w:lang w:val="en-GB"/>
        </w:rPr>
      </w:pPr>
    </w:p>
    <w:p w:rsidR="0088545F" w:rsidRPr="0075608E" w:rsidRDefault="0088545F" w:rsidP="0088545F">
      <w:pPr>
        <w:rPr>
          <w:lang w:val="en-GB"/>
        </w:rPr>
      </w:pPr>
      <w:r w:rsidRPr="0075608E">
        <w:rPr>
          <w:rFonts w:ascii="Arial" w:eastAsia="Arial" w:hAnsi="Arial" w:cs="Arial"/>
          <w:b/>
          <w:sz w:val="20"/>
          <w:lang w:val="en-GB"/>
        </w:rPr>
        <w:t>Acesulfame-K</w:t>
      </w:r>
    </w:p>
    <w:p w:rsidR="0088545F" w:rsidRPr="0075608E" w:rsidRDefault="0088545F" w:rsidP="0088545F">
      <w:pPr>
        <w:ind w:left="350"/>
        <w:rPr>
          <w:lang w:val="en-GB"/>
        </w:rPr>
      </w:pPr>
      <w:r w:rsidRPr="0075608E">
        <w:rPr>
          <w:rFonts w:ascii="Arial" w:eastAsia="Arial" w:hAnsi="Arial" w:cs="Arial"/>
          <w:sz w:val="20"/>
          <w:lang w:val="en-GB"/>
        </w:rPr>
        <w:t>● Supply: The acesulfame-K market saw an oversupply in May. During this period, major manufacturers were in normal and stable production except for a manufacturer in Shandong Province which still focused on clearing its inventory.</w:t>
      </w:r>
    </w:p>
    <w:p w:rsidR="0088545F" w:rsidRPr="0075608E" w:rsidRDefault="0088545F" w:rsidP="0088545F">
      <w:pPr>
        <w:ind w:left="350"/>
        <w:rPr>
          <w:lang w:val="en-GB"/>
        </w:rPr>
      </w:pPr>
      <w:r w:rsidRPr="0075608E">
        <w:rPr>
          <w:rFonts w:ascii="Arial" w:eastAsia="Arial" w:hAnsi="Arial" w:cs="Arial"/>
          <w:sz w:val="20"/>
          <w:lang w:val="en-GB"/>
        </w:rPr>
        <w:t>● Demand: The overall demand for acesulfame-K was relatively weak, which could be attributed to the downstream consumption weakness as beverage sales still slowed in the peak season.</w:t>
      </w:r>
    </w:p>
    <w:p w:rsidR="0088545F" w:rsidRPr="0075608E" w:rsidRDefault="0088545F" w:rsidP="0088545F">
      <w:pPr>
        <w:ind w:left="350"/>
        <w:rPr>
          <w:lang w:val="en-GB"/>
        </w:rPr>
      </w:pPr>
      <w:r w:rsidRPr="0075608E">
        <w:rPr>
          <w:rFonts w:ascii="Arial" w:eastAsia="Arial" w:hAnsi="Arial" w:cs="Arial"/>
          <w:sz w:val="20"/>
          <w:lang w:val="en-GB"/>
        </w:rPr>
        <w:t>● Costs: The overall production costs of acesulfame-K dropped due to the decline in the price of the main raw material diketene.</w:t>
      </w:r>
    </w:p>
    <w:p w:rsidR="0088545F" w:rsidRPr="0075608E" w:rsidRDefault="0088545F" w:rsidP="0088545F">
      <w:pPr>
        <w:rPr>
          <w:lang w:val="en-GB"/>
        </w:rPr>
      </w:pPr>
    </w:p>
    <w:p w:rsidR="0088545F" w:rsidRPr="0075608E" w:rsidRDefault="0088545F" w:rsidP="0088545F">
      <w:pPr>
        <w:rPr>
          <w:lang w:val="en-GB"/>
        </w:rPr>
      </w:pPr>
      <w:r w:rsidRPr="0075608E">
        <w:rPr>
          <w:rFonts w:ascii="Arial" w:eastAsia="Arial" w:hAnsi="Arial" w:cs="Arial"/>
          <w:sz w:val="20"/>
          <w:lang w:val="en-GB"/>
        </w:rPr>
        <w:t>It is projected that the acesulfame-K price may see a further decline in the short term due to a combination of weak consumption, no signs of improvement in demand and new production capacity putting downward pressure on the price.</w:t>
      </w:r>
    </w:p>
    <w:p w:rsidR="0088545F" w:rsidRPr="0075608E" w:rsidRDefault="0088545F" w:rsidP="0088545F">
      <w:pPr>
        <w:rPr>
          <w:lang w:val="en-GB"/>
        </w:rPr>
      </w:pPr>
    </w:p>
    <w:p w:rsidR="0088545F" w:rsidRPr="0075608E" w:rsidRDefault="0088545F" w:rsidP="0088545F">
      <w:pPr>
        <w:spacing w:after="100"/>
        <w:jc w:val="center"/>
        <w:rPr>
          <w:lang w:val="en-GB"/>
        </w:rPr>
      </w:pPr>
      <w:r w:rsidRPr="0075608E">
        <w:rPr>
          <w:rFonts w:ascii="Arial" w:eastAsia="Arial" w:hAnsi="Arial" w:cs="Arial"/>
          <w:b/>
          <w:sz w:val="16"/>
          <w:lang w:val="en-GB"/>
        </w:rPr>
        <w:t>FIGURE</w:t>
      </w:r>
      <w:r w:rsidRPr="0075608E">
        <w:rPr>
          <w:rFonts w:ascii="Arial" w:eastAsia="Arial" w:hAnsi="Arial" w:cs="Arial"/>
          <w:sz w:val="16"/>
          <w:lang w:val="en-GB"/>
        </w:rPr>
        <w:t xml:space="preserve"> 2: Ex-works price of acesulfame-K in China, Jan. 2021–May 2023</w:t>
      </w:r>
    </w:p>
    <w:p w:rsidR="0088545F" w:rsidRPr="0075608E" w:rsidRDefault="0088545F" w:rsidP="0088545F">
      <w:pPr>
        <w:jc w:val="center"/>
        <w:rPr>
          <w:lang w:val="en-GB"/>
        </w:rPr>
      </w:pPr>
      <w:r w:rsidRPr="0075608E">
        <w:rPr>
          <w:noProof/>
          <w:lang w:val="en-GB"/>
        </w:rPr>
        <w:drawing>
          <wp:inline distT="0" distB="0" distL="0" distR="0" wp14:anchorId="054CD760" wp14:editId="6FEF3ADD">
            <wp:extent cx="6350000" cy="3175000"/>
            <wp:effectExtent l="0" t="0" r="0" b="0"/>
            <wp:docPr id="3" name="Drawing 2" descr="image"/>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11"/>
                    <a:stretch>
                      <a:fillRect/>
                    </a:stretch>
                  </pic:blipFill>
                  <pic:spPr>
                    <a:xfrm>
                      <a:off x="0" y="0"/>
                      <a:ext cx="6350000" cy="3175000"/>
                    </a:xfrm>
                    <a:prstGeom prst="rect">
                      <a:avLst/>
                    </a:prstGeom>
                  </pic:spPr>
                </pic:pic>
              </a:graphicData>
            </a:graphic>
          </wp:inline>
        </w:drawing>
      </w:r>
    </w:p>
    <w:p w:rsidR="0088545F" w:rsidRPr="0075608E" w:rsidRDefault="0088545F" w:rsidP="0088545F">
      <w:pPr>
        <w:rPr>
          <w:lang w:val="en-GB"/>
        </w:rPr>
      </w:pPr>
      <w:r w:rsidRPr="0075608E">
        <w:rPr>
          <w:rFonts w:ascii="Arial" w:eastAsia="Arial" w:hAnsi="Arial" w:cs="Arial"/>
          <w:i/>
          <w:sz w:val="16"/>
          <w:lang w:val="en-GB"/>
        </w:rPr>
        <w:t>Source:</w:t>
      </w:r>
      <w:r w:rsidR="00D04FA3" w:rsidRPr="0075608E">
        <w:rPr>
          <w:rFonts w:ascii="Arial" w:hAnsi="Arial" w:cs="Arial"/>
          <w:i/>
          <w:sz w:val="16"/>
          <w:lang w:val="en-GB"/>
        </w:rPr>
        <w:t xml:space="preserve"> </w:t>
      </w:r>
      <w:r w:rsidRPr="0075608E">
        <w:rPr>
          <w:rFonts w:ascii="Arial" w:eastAsia="Arial" w:hAnsi="Arial" w:cs="Arial"/>
          <w:i/>
          <w:sz w:val="16"/>
          <w:lang w:val="en-GB"/>
        </w:rPr>
        <w:t>CCM</w:t>
      </w:r>
    </w:p>
    <w:p w:rsidR="0088545F" w:rsidRPr="0075608E" w:rsidRDefault="0088545F" w:rsidP="0088545F">
      <w:pPr>
        <w:rPr>
          <w:lang w:val="en-GB"/>
        </w:rPr>
      </w:pPr>
    </w:p>
    <w:p w:rsidR="00423BB3" w:rsidRPr="0075608E" w:rsidRDefault="00423BB3">
      <w:pPr>
        <w:rPr>
          <w:lang w:val="en-GB"/>
        </w:rPr>
      </w:pPr>
    </w:p>
    <w:p w:rsidR="00423BB3" w:rsidRPr="0075608E" w:rsidRDefault="00423BB3">
      <w:pPr>
        <w:rPr>
          <w:lang w:val="en-GB"/>
        </w:rPr>
      </w:pPr>
    </w:p>
    <w:p w:rsidR="00423BB3" w:rsidRPr="0075608E" w:rsidRDefault="00BC3BCD">
      <w:pPr>
        <w:pageBreakBefore/>
        <w:spacing w:line="288" w:lineRule="auto"/>
        <w:jc w:val="left"/>
        <w:rPr>
          <w:lang w:val="en-GB"/>
        </w:rPr>
      </w:pPr>
      <w:r w:rsidRPr="0075608E">
        <w:rPr>
          <w:rFonts w:ascii="Arial" w:eastAsia="Arial" w:hAnsi="Arial" w:cs="Arial"/>
          <w:b/>
          <w:sz w:val="24"/>
          <w:lang w:val="en-GB"/>
        </w:rPr>
        <w:lastRenderedPageBreak/>
        <w:t xml:space="preserve">Journalist: </w:t>
      </w:r>
      <w:r w:rsidR="00B44D67" w:rsidRPr="0075608E">
        <w:rPr>
          <w:rFonts w:ascii="Arial" w:eastAsia="Arial" w:hAnsi="Arial" w:cs="Arial"/>
          <w:b/>
          <w:sz w:val="24"/>
          <w:lang w:val="en-GB"/>
        </w:rPr>
        <w:t xml:space="preserve">Ricky Qu </w:t>
      </w:r>
      <w:r w:rsidRPr="0075608E">
        <w:rPr>
          <w:rFonts w:ascii="Arial" w:eastAsia="Arial" w:hAnsi="Arial" w:cs="Arial"/>
          <w:b/>
          <w:sz w:val="24"/>
          <w:lang w:val="en-GB"/>
        </w:rPr>
        <w:cr/>
        <w:t xml:space="preserve">Editor: </w:t>
      </w:r>
      <w:proofErr w:type="spellStart"/>
      <w:r w:rsidRPr="0075608E">
        <w:rPr>
          <w:rFonts w:ascii="Arial" w:eastAsia="Arial" w:hAnsi="Arial" w:cs="Arial"/>
          <w:b/>
          <w:sz w:val="24"/>
          <w:lang w:val="en-GB"/>
        </w:rPr>
        <w:t>Caiting</w:t>
      </w:r>
      <w:bookmarkStart w:id="13" w:name="_GoBack"/>
      <w:bookmarkEnd w:id="13"/>
      <w:proofErr w:type="spellEnd"/>
      <w:r w:rsidRPr="0075608E">
        <w:rPr>
          <w:rFonts w:ascii="Arial" w:eastAsia="Arial" w:hAnsi="Arial" w:cs="Arial"/>
          <w:b/>
          <w:sz w:val="24"/>
          <w:lang w:val="en-GB"/>
        </w:rPr>
        <w:t xml:space="preserve"> Zhang</w:t>
      </w:r>
      <w:r w:rsidRPr="0075608E">
        <w:rPr>
          <w:rFonts w:ascii="Arial" w:eastAsia="Arial" w:hAnsi="Arial" w:cs="Arial"/>
          <w:b/>
          <w:sz w:val="24"/>
          <w:lang w:val="en-GB"/>
        </w:rPr>
        <w:cr/>
        <w:t>Chief Editor: Ricky Qu</w:t>
      </w:r>
      <w:r w:rsidRPr="0075608E">
        <w:rPr>
          <w:rFonts w:ascii="Arial" w:eastAsia="Arial" w:hAnsi="Arial" w:cs="Arial"/>
          <w:b/>
          <w:sz w:val="24"/>
          <w:lang w:val="en-GB"/>
        </w:rPr>
        <w:cr/>
        <w:t xml:space="preserve">Publisher: </w:t>
      </w:r>
      <w:proofErr w:type="spellStart"/>
      <w:r w:rsidRPr="0075608E">
        <w:rPr>
          <w:rFonts w:ascii="Arial" w:eastAsia="Arial" w:hAnsi="Arial" w:cs="Arial"/>
          <w:b/>
          <w:sz w:val="24"/>
          <w:lang w:val="en-GB"/>
        </w:rPr>
        <w:t>Kcomber</w:t>
      </w:r>
      <w:proofErr w:type="spellEnd"/>
      <w:r w:rsidRPr="0075608E">
        <w:rPr>
          <w:rFonts w:ascii="Arial" w:eastAsia="Arial" w:hAnsi="Arial" w:cs="Arial"/>
          <w:b/>
          <w:sz w:val="24"/>
          <w:lang w:val="en-GB"/>
        </w:rPr>
        <w:t xml:space="preserve"> Inc.</w:t>
      </w:r>
      <w:r w:rsidRPr="0075608E">
        <w:rPr>
          <w:rFonts w:ascii="Arial" w:eastAsia="Arial" w:hAnsi="Arial" w:cs="Arial"/>
          <w:b/>
          <w:sz w:val="24"/>
          <w:lang w:val="en-GB"/>
        </w:rPr>
        <w:cr/>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00"/>
      </w:tblGrid>
      <w:tr w:rsidR="00423BB3" w:rsidRPr="0075608E">
        <w:tc>
          <w:tcPr>
            <w:tcW w:w="8000" w:type="dxa"/>
            <w:tcBorders>
              <w:left w:val="nil"/>
              <w:bottom w:val="nil"/>
              <w:right w:val="nil"/>
            </w:tcBorders>
          </w:tcPr>
          <w:p w:rsidR="00423BB3" w:rsidRPr="0075608E" w:rsidRDefault="00423BB3">
            <w:pPr>
              <w:rPr>
                <w:lang w:val="en-GB"/>
              </w:rPr>
            </w:pPr>
          </w:p>
        </w:tc>
      </w:tr>
    </w:tbl>
    <w:p w:rsidR="00423BB3" w:rsidRPr="0075608E" w:rsidRDefault="00BC3BCD">
      <w:pPr>
        <w:rPr>
          <w:lang w:val="en-GB"/>
        </w:rPr>
      </w:pPr>
      <w:proofErr w:type="spellStart"/>
      <w:r w:rsidRPr="0075608E">
        <w:rPr>
          <w:rFonts w:ascii="Arial" w:eastAsia="Arial" w:hAnsi="Arial" w:cs="Arial"/>
          <w:b/>
          <w:sz w:val="24"/>
          <w:lang w:val="en-GB"/>
        </w:rPr>
        <w:t>Kcomber's</w:t>
      </w:r>
      <w:proofErr w:type="spellEnd"/>
      <w:r w:rsidRPr="0075608E">
        <w:rPr>
          <w:rFonts w:ascii="Arial" w:eastAsia="Arial" w:hAnsi="Arial" w:cs="Arial"/>
          <w:b/>
          <w:sz w:val="24"/>
          <w:lang w:val="en-GB"/>
        </w:rPr>
        <w:t xml:space="preserve"> legal disclaimers</w:t>
      </w:r>
      <w:r w:rsidRPr="0075608E">
        <w:rPr>
          <w:rFonts w:ascii="Arial" w:eastAsia="Arial" w:hAnsi="Arial" w:cs="Arial"/>
          <w:b/>
          <w:sz w:val="24"/>
          <w:lang w:val="en-GB"/>
        </w:rPr>
        <w:cr/>
      </w:r>
      <w:r w:rsidRPr="0075608E">
        <w:rPr>
          <w:rFonts w:ascii="Arial" w:eastAsia="Arial" w:hAnsi="Arial" w:cs="Arial"/>
          <w:b/>
          <w:sz w:val="24"/>
          <w:lang w:val="en-GB"/>
        </w:rPr>
        <w:cr/>
      </w:r>
      <w:r w:rsidRPr="0075608E">
        <w:rPr>
          <w:rFonts w:ascii="Arial" w:eastAsia="Arial" w:hAnsi="Arial" w:cs="Arial"/>
          <w:sz w:val="20"/>
          <w:lang w:val="en-GB"/>
        </w:rPr>
        <w:t xml:space="preserve">1. </w:t>
      </w:r>
      <w:proofErr w:type="spellStart"/>
      <w:r w:rsidRPr="0075608E">
        <w:rPr>
          <w:rFonts w:ascii="Arial" w:eastAsia="Arial" w:hAnsi="Arial" w:cs="Arial"/>
          <w:sz w:val="20"/>
          <w:lang w:val="en-GB"/>
        </w:rPr>
        <w:t>Kcomber</w:t>
      </w:r>
      <w:proofErr w:type="spellEnd"/>
      <w:r w:rsidRPr="0075608E">
        <w:rPr>
          <w:rFonts w:ascii="Arial" w:eastAsia="Arial" w:hAnsi="Arial" w:cs="Arial"/>
          <w:sz w:val="20"/>
          <w:lang w:val="en-GB"/>
        </w:rPr>
        <w:t xml:space="preserve"> guarantees that the information in the report is accurate and reliable to the best of its knowledge and experience. </w:t>
      </w:r>
      <w:proofErr w:type="spellStart"/>
      <w:r w:rsidRPr="0075608E">
        <w:rPr>
          <w:rFonts w:ascii="Arial" w:eastAsia="Arial" w:hAnsi="Arial" w:cs="Arial"/>
          <w:sz w:val="20"/>
          <w:lang w:val="en-GB"/>
        </w:rPr>
        <w:t>Kcomber</w:t>
      </w:r>
      <w:proofErr w:type="spellEnd"/>
      <w:r w:rsidRPr="0075608E">
        <w:rPr>
          <w:rFonts w:ascii="Arial" w:eastAsia="Arial" w:hAnsi="Arial" w:cs="Arial"/>
          <w:sz w:val="20"/>
          <w:lang w:val="en-GB"/>
        </w:rPr>
        <w:t xml:space="preserve"> defines the report as a consulting product providing information and does not guarantee its information is completely in accordance with the fact. </w:t>
      </w:r>
      <w:proofErr w:type="spellStart"/>
      <w:r w:rsidRPr="0075608E">
        <w:rPr>
          <w:rFonts w:ascii="Arial" w:eastAsia="Arial" w:hAnsi="Arial" w:cs="Arial"/>
          <w:sz w:val="20"/>
          <w:lang w:val="en-GB"/>
        </w:rPr>
        <w:t>Kcomber</w:t>
      </w:r>
      <w:proofErr w:type="spellEnd"/>
      <w:r w:rsidRPr="0075608E">
        <w:rPr>
          <w:rFonts w:ascii="Arial" w:eastAsia="Arial" w:hAnsi="Arial" w:cs="Arial"/>
          <w:sz w:val="20"/>
          <w:lang w:val="en-GB"/>
        </w:rPr>
        <w:t xml:space="preserve"> shall not have any obligations to assume any possible damage or consequences caused by subscribers’ any corporate decisions based upon subscribers’ own understanding and utilization of the report.</w:t>
      </w:r>
      <w:r w:rsidRPr="0075608E">
        <w:rPr>
          <w:rFonts w:ascii="Arial" w:eastAsia="Arial" w:hAnsi="Arial" w:cs="Arial"/>
          <w:sz w:val="20"/>
          <w:lang w:val="en-GB"/>
        </w:rPr>
        <w:cr/>
      </w:r>
      <w:r w:rsidRPr="0075608E">
        <w:rPr>
          <w:rFonts w:ascii="Arial" w:eastAsia="Arial" w:hAnsi="Arial" w:cs="Arial"/>
          <w:sz w:val="20"/>
          <w:lang w:val="en-GB"/>
        </w:rPr>
        <w:cr/>
        <w:t xml:space="preserve">2. The complete copyright of the report is and will be held by </w:t>
      </w:r>
      <w:proofErr w:type="spellStart"/>
      <w:r w:rsidRPr="0075608E">
        <w:rPr>
          <w:rFonts w:ascii="Arial" w:eastAsia="Arial" w:hAnsi="Arial" w:cs="Arial"/>
          <w:sz w:val="20"/>
          <w:lang w:val="en-GB"/>
        </w:rPr>
        <w:t>Kcomber</w:t>
      </w:r>
      <w:proofErr w:type="spellEnd"/>
      <w:r w:rsidRPr="0075608E">
        <w:rPr>
          <w:rFonts w:ascii="Arial" w:eastAsia="Arial" w:hAnsi="Arial" w:cs="Arial"/>
          <w:sz w:val="20"/>
          <w:lang w:val="en-GB"/>
        </w:rPr>
        <w:t>. Subscribers shall not acquire, or be deemed to acquire the copyright of the report.</w:t>
      </w:r>
      <w:r w:rsidRPr="0075608E">
        <w:rPr>
          <w:rFonts w:ascii="Arial" w:eastAsia="Arial" w:hAnsi="Arial" w:cs="Arial"/>
          <w:sz w:val="20"/>
          <w:lang w:val="en-GB"/>
        </w:rPr>
        <w:cr/>
      </w:r>
      <w:r w:rsidRPr="0075608E">
        <w:rPr>
          <w:rFonts w:ascii="Arial" w:eastAsia="Arial" w:hAnsi="Arial" w:cs="Arial"/>
          <w:sz w:val="20"/>
          <w:lang w:val="en-GB"/>
        </w:rPr>
        <w:cr/>
        <w:t xml:space="preserve">3. The report provided by </w:t>
      </w:r>
      <w:proofErr w:type="spellStart"/>
      <w:r w:rsidRPr="0075608E">
        <w:rPr>
          <w:rFonts w:ascii="Arial" w:eastAsia="Arial" w:hAnsi="Arial" w:cs="Arial"/>
          <w:sz w:val="20"/>
          <w:lang w:val="en-GB"/>
        </w:rPr>
        <w:t>Kcomber</w:t>
      </w:r>
      <w:proofErr w:type="spellEnd"/>
      <w:r w:rsidRPr="0075608E">
        <w:rPr>
          <w:rFonts w:ascii="Arial" w:eastAsia="Arial" w:hAnsi="Arial" w:cs="Arial"/>
          <w:sz w:val="20"/>
          <w:lang w:val="en-GB"/>
        </w:rPr>
        <w:t xml:space="preserve"> shall be only used as source of subscriber’s internal business decisions and shall not be used for any other purposes without </w:t>
      </w:r>
      <w:proofErr w:type="spellStart"/>
      <w:r w:rsidRPr="0075608E">
        <w:rPr>
          <w:rFonts w:ascii="Arial" w:eastAsia="Arial" w:hAnsi="Arial" w:cs="Arial"/>
          <w:sz w:val="20"/>
          <w:lang w:val="en-GB"/>
        </w:rPr>
        <w:t>Kcomber’s</w:t>
      </w:r>
      <w:proofErr w:type="spellEnd"/>
      <w:r w:rsidRPr="0075608E">
        <w:rPr>
          <w:rFonts w:ascii="Arial" w:eastAsia="Arial" w:hAnsi="Arial" w:cs="Arial"/>
          <w:sz w:val="20"/>
          <w:lang w:val="en-GB"/>
        </w:rPr>
        <w:t xml:space="preserve"> prior written consent, unless stated and approved in license contract signed by both parties. Subscribers shall not distribute, resell and disclose the whole report or any part of the report to third parties and shall not publish any article or report by largely or directly copying or citing the information or data based on </w:t>
      </w:r>
      <w:proofErr w:type="spellStart"/>
      <w:r w:rsidRPr="0075608E">
        <w:rPr>
          <w:rFonts w:ascii="Arial" w:eastAsia="Arial" w:hAnsi="Arial" w:cs="Arial"/>
          <w:sz w:val="20"/>
          <w:lang w:val="en-GB"/>
        </w:rPr>
        <w:t>Kcomber’s</w:t>
      </w:r>
      <w:proofErr w:type="spellEnd"/>
      <w:r w:rsidRPr="0075608E">
        <w:rPr>
          <w:rFonts w:ascii="Arial" w:eastAsia="Arial" w:hAnsi="Arial" w:cs="Arial"/>
          <w:sz w:val="20"/>
          <w:lang w:val="en-GB"/>
        </w:rPr>
        <w:t xml:space="preserve"> report without the prior written consent of </w:t>
      </w:r>
      <w:proofErr w:type="spellStart"/>
      <w:r w:rsidRPr="0075608E">
        <w:rPr>
          <w:rFonts w:ascii="Arial" w:eastAsia="Arial" w:hAnsi="Arial" w:cs="Arial"/>
          <w:sz w:val="20"/>
          <w:lang w:val="en-GB"/>
        </w:rPr>
        <w:t>Kcomber</w:t>
      </w:r>
      <w:proofErr w:type="spellEnd"/>
      <w:r w:rsidRPr="0075608E">
        <w:rPr>
          <w:rFonts w:ascii="Arial" w:eastAsia="Arial" w:hAnsi="Arial" w:cs="Arial"/>
          <w:sz w:val="20"/>
          <w:lang w:val="en-GB"/>
        </w:rPr>
        <w:t>.</w:t>
      </w:r>
      <w:r w:rsidRPr="0075608E">
        <w:rPr>
          <w:rFonts w:ascii="Arial" w:eastAsia="Arial" w:hAnsi="Arial" w:cs="Arial"/>
          <w:sz w:val="20"/>
          <w:lang w:val="en-GB"/>
        </w:rPr>
        <w:cr/>
      </w:r>
      <w:r w:rsidRPr="0075608E">
        <w:rPr>
          <w:rFonts w:ascii="Arial" w:eastAsia="Arial" w:hAnsi="Arial" w:cs="Arial"/>
          <w:sz w:val="20"/>
          <w:lang w:val="en-GB"/>
        </w:rPr>
        <w:cr/>
        <w:t xml:space="preserve">4. </w:t>
      </w:r>
      <w:r w:rsidRPr="0075608E">
        <w:rPr>
          <w:rFonts w:ascii="Arial" w:eastAsia="Arial" w:hAnsi="Arial" w:cs="Arial"/>
          <w:b/>
          <w:sz w:val="20"/>
          <w:lang w:val="en-GB"/>
        </w:rPr>
        <w:t>"Single User License"</w:t>
      </w:r>
      <w:r w:rsidRPr="0075608E">
        <w:rPr>
          <w:rFonts w:ascii="Arial" w:eastAsia="Arial" w:hAnsi="Arial" w:cs="Arial"/>
          <w:sz w:val="20"/>
          <w:lang w:val="en-GB"/>
        </w:rPr>
        <w:t xml:space="preserve"> means that there shall be only ONE person to receive, access and utilize the report. Subscriber can present the content of the report that marked the source from </w:t>
      </w:r>
      <w:proofErr w:type="spellStart"/>
      <w:r w:rsidRPr="0075608E">
        <w:rPr>
          <w:rFonts w:ascii="Arial" w:eastAsia="Arial" w:hAnsi="Arial" w:cs="Arial"/>
          <w:sz w:val="20"/>
          <w:lang w:val="en-GB"/>
        </w:rPr>
        <w:t>Kcomber</w:t>
      </w:r>
      <w:proofErr w:type="spellEnd"/>
      <w:r w:rsidRPr="0075608E">
        <w:rPr>
          <w:rFonts w:ascii="Arial" w:eastAsia="Arial" w:hAnsi="Arial" w:cs="Arial"/>
          <w:sz w:val="20"/>
          <w:lang w:val="en-GB"/>
        </w:rPr>
        <w:t xml:space="preserve"> to their internal colleagues for their internal communication and utilization, but cannot share the whole report to other individuals. Any citation, distribution, reselling and disclosure of the report as well as its partial content to any third party are prohibited, including but not limited to their parent companies or subsidiaries.</w:t>
      </w:r>
      <w:r w:rsidRPr="0075608E">
        <w:rPr>
          <w:rFonts w:ascii="Arial" w:eastAsia="Arial" w:hAnsi="Arial" w:cs="Arial"/>
          <w:sz w:val="20"/>
          <w:lang w:val="en-GB"/>
        </w:rPr>
        <w:cr/>
      </w:r>
      <w:r w:rsidRPr="0075608E">
        <w:rPr>
          <w:rFonts w:ascii="Arial" w:eastAsia="Arial" w:hAnsi="Arial" w:cs="Arial"/>
          <w:sz w:val="20"/>
          <w:lang w:val="en-GB"/>
        </w:rPr>
        <w:cr/>
        <w:t xml:space="preserve">5. </w:t>
      </w:r>
      <w:r w:rsidRPr="0075608E">
        <w:rPr>
          <w:rFonts w:ascii="Arial" w:eastAsia="Arial" w:hAnsi="Arial" w:cs="Arial"/>
          <w:b/>
          <w:sz w:val="20"/>
          <w:lang w:val="en-GB"/>
        </w:rPr>
        <w:t>"Corporate License"</w:t>
      </w:r>
      <w:r w:rsidRPr="0075608E">
        <w:rPr>
          <w:rFonts w:ascii="Arial" w:eastAsia="Arial" w:hAnsi="Arial" w:cs="Arial"/>
          <w:sz w:val="20"/>
          <w:lang w:val="en-GB"/>
        </w:rPr>
        <w:t xml:space="preserve"> means that subscriber shall not cite, distribute, resell the report or disclose information of the report to any third party without </w:t>
      </w:r>
      <w:proofErr w:type="spellStart"/>
      <w:r w:rsidRPr="0075608E">
        <w:rPr>
          <w:rFonts w:ascii="Arial" w:eastAsia="Arial" w:hAnsi="Arial" w:cs="Arial"/>
          <w:sz w:val="20"/>
          <w:lang w:val="en-GB"/>
        </w:rPr>
        <w:t>Kcomber's</w:t>
      </w:r>
      <w:proofErr w:type="spellEnd"/>
      <w:r w:rsidRPr="0075608E">
        <w:rPr>
          <w:rFonts w:ascii="Arial" w:eastAsia="Arial" w:hAnsi="Arial" w:cs="Arial"/>
          <w:sz w:val="20"/>
          <w:lang w:val="en-GB"/>
        </w:rPr>
        <w:t xml:space="preserve"> prior written consent, except subscribers' affiliates controlled with ownership of more than 50% of shares.</w:t>
      </w:r>
      <w:r w:rsidRPr="0075608E">
        <w:rPr>
          <w:rFonts w:ascii="Arial" w:eastAsia="Arial" w:hAnsi="Arial" w:cs="Arial"/>
          <w:sz w:val="20"/>
          <w:lang w:val="en-GB"/>
        </w:rPr>
        <w:cr/>
      </w:r>
      <w:r w:rsidRPr="0075608E">
        <w:rPr>
          <w:rFonts w:ascii="Arial" w:eastAsia="Arial" w:hAnsi="Arial" w:cs="Arial"/>
          <w:sz w:val="20"/>
          <w:lang w:val="en-GB"/>
        </w:rPr>
        <w:cr/>
      </w:r>
      <w:proofErr w:type="spellStart"/>
      <w:r w:rsidRPr="0075608E">
        <w:rPr>
          <w:rFonts w:ascii="Arial" w:eastAsia="Arial" w:hAnsi="Arial" w:cs="Arial"/>
          <w:b/>
          <w:sz w:val="20"/>
          <w:lang w:val="en-GB"/>
        </w:rPr>
        <w:t>Kcomber</w:t>
      </w:r>
      <w:proofErr w:type="spellEnd"/>
      <w:r w:rsidRPr="0075608E">
        <w:rPr>
          <w:rFonts w:ascii="Arial" w:eastAsia="Arial" w:hAnsi="Arial" w:cs="Arial"/>
          <w:b/>
          <w:sz w:val="20"/>
          <w:lang w:val="en-GB"/>
        </w:rPr>
        <w:t xml:space="preserve"> Inc.</w:t>
      </w:r>
      <w:r w:rsidRPr="0075608E">
        <w:rPr>
          <w:rFonts w:ascii="Arial" w:eastAsia="Arial" w:hAnsi="Arial" w:cs="Arial"/>
          <w:b/>
          <w:sz w:val="20"/>
          <w:lang w:val="en-GB"/>
        </w:rPr>
        <w:cr/>
      </w:r>
      <w:r w:rsidRPr="0075608E">
        <w:rPr>
          <w:rFonts w:ascii="Arial" w:eastAsia="Arial" w:hAnsi="Arial" w:cs="Arial"/>
          <w:sz w:val="20"/>
          <w:lang w:val="en-GB"/>
        </w:rPr>
        <w:t>Any publication, distribution or copying of the content in this report is prohibited.</w:t>
      </w:r>
      <w:r w:rsidRPr="0075608E">
        <w:rPr>
          <w:rFonts w:ascii="Arial" w:eastAsia="Arial" w:hAnsi="Arial" w:cs="Arial"/>
          <w:sz w:val="20"/>
          <w:lang w:val="en-GB"/>
        </w:rPr>
        <w:cr/>
        <w:t xml:space="preserve">17th Floor, </w:t>
      </w:r>
      <w:proofErr w:type="spellStart"/>
      <w:r w:rsidRPr="0075608E">
        <w:rPr>
          <w:rFonts w:ascii="Arial" w:eastAsia="Arial" w:hAnsi="Arial" w:cs="Arial"/>
          <w:sz w:val="20"/>
          <w:lang w:val="en-GB"/>
        </w:rPr>
        <w:t>Huihua</w:t>
      </w:r>
      <w:proofErr w:type="spellEnd"/>
      <w:r w:rsidRPr="0075608E">
        <w:rPr>
          <w:rFonts w:ascii="Arial" w:eastAsia="Arial" w:hAnsi="Arial" w:cs="Arial"/>
          <w:sz w:val="20"/>
          <w:lang w:val="en-GB"/>
        </w:rPr>
        <w:t xml:space="preserve"> Commercial &amp; Trade Building, No.80 </w:t>
      </w:r>
      <w:proofErr w:type="spellStart"/>
      <w:r w:rsidRPr="0075608E">
        <w:rPr>
          <w:rFonts w:ascii="Arial" w:eastAsia="Arial" w:hAnsi="Arial" w:cs="Arial"/>
          <w:sz w:val="20"/>
          <w:lang w:val="en-GB"/>
        </w:rPr>
        <w:t>XianlieZhong</w:t>
      </w:r>
      <w:proofErr w:type="spellEnd"/>
      <w:r w:rsidRPr="0075608E">
        <w:rPr>
          <w:rFonts w:ascii="Arial" w:eastAsia="Arial" w:hAnsi="Arial" w:cs="Arial"/>
          <w:sz w:val="20"/>
          <w:lang w:val="en-GB"/>
        </w:rPr>
        <w:t xml:space="preserve"> Road Guangzhou, 510070, P. R. China</w:t>
      </w:r>
      <w:r w:rsidRPr="0075608E">
        <w:rPr>
          <w:rFonts w:ascii="Arial" w:eastAsia="Arial" w:hAnsi="Arial" w:cs="Arial"/>
          <w:sz w:val="20"/>
          <w:lang w:val="en-GB"/>
        </w:rPr>
        <w:cr/>
      </w:r>
      <w:r w:rsidRPr="0075608E">
        <w:rPr>
          <w:rFonts w:ascii="Arial" w:eastAsia="Arial" w:hAnsi="Arial" w:cs="Arial"/>
          <w:sz w:val="20"/>
          <w:lang w:val="en-GB"/>
        </w:rPr>
        <w:cr/>
      </w:r>
      <w:r w:rsidRPr="0075608E">
        <w:rPr>
          <w:rFonts w:ascii="Arial" w:eastAsia="Arial" w:hAnsi="Arial" w:cs="Arial"/>
          <w:b/>
          <w:color w:val="0000FF"/>
          <w:lang w:val="en-GB"/>
        </w:rPr>
        <w:t>Tel:+86-20-37616606</w:t>
      </w:r>
      <w:r w:rsidRPr="0075608E">
        <w:rPr>
          <w:rFonts w:ascii="Arial" w:eastAsia="Arial" w:hAnsi="Arial" w:cs="Arial"/>
          <w:b/>
          <w:color w:val="0000FF"/>
          <w:lang w:val="en-GB"/>
        </w:rPr>
        <w:cr/>
      </w:r>
      <w:r w:rsidRPr="0075608E">
        <w:rPr>
          <w:rFonts w:ascii="Arial" w:eastAsia="Arial" w:hAnsi="Arial" w:cs="Arial"/>
          <w:sz w:val="20"/>
          <w:lang w:val="en-GB"/>
        </w:rPr>
        <w:t>Fax:+86-20-37616768</w:t>
      </w:r>
      <w:r w:rsidRPr="0075608E">
        <w:rPr>
          <w:rFonts w:ascii="Arial" w:eastAsia="Arial" w:hAnsi="Arial" w:cs="Arial"/>
          <w:sz w:val="20"/>
          <w:lang w:val="en-GB"/>
        </w:rPr>
        <w:cr/>
        <w:t>E-mail:econtact@cnchemicals.com</w:t>
      </w:r>
      <w:r w:rsidRPr="0075608E">
        <w:rPr>
          <w:rFonts w:ascii="Arial" w:eastAsia="Arial" w:hAnsi="Arial" w:cs="Arial"/>
          <w:sz w:val="20"/>
          <w:lang w:val="en-GB"/>
        </w:rPr>
        <w:cr/>
        <w:t>Website:www.cnchemicals.com</w:t>
      </w:r>
    </w:p>
    <w:sectPr w:rsidR="00423BB3" w:rsidRPr="0075608E">
      <w:footerReference w:type="default" r:id="rId12"/>
      <w:pgSz w:w="11907" w:h="16839"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DD" w:rsidRDefault="003C47DD">
      <w:r>
        <w:separator/>
      </w:r>
    </w:p>
  </w:endnote>
  <w:endnote w:type="continuationSeparator" w:id="0">
    <w:p w:rsidR="003C47DD" w:rsidRDefault="003C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B3" w:rsidRDefault="00BC3BCD">
    <w:pPr>
      <w:jc w:val="center"/>
      <w:textAlignment w:val="center"/>
    </w:pPr>
    <w:r>
      <w:fldChar w:fldCharType="begin"/>
    </w:r>
    <w:r>
      <w:rPr>
        <w:sz w:val="22"/>
      </w:rPr>
      <w:instrText>PAGE  \* MERGEFORMAT</w:instrText>
    </w:r>
    <w:r>
      <w:fldChar w:fldCharType="separate"/>
    </w:r>
    <w:r w:rsidR="0075608E">
      <w:rPr>
        <w:noProof/>
        <w:sz w:val="22"/>
      </w:rPr>
      <w:t>9</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DD" w:rsidRDefault="003C47DD">
      <w:r>
        <w:separator/>
      </w:r>
    </w:p>
  </w:footnote>
  <w:footnote w:type="continuationSeparator" w:id="0">
    <w:p w:rsidR="003C47DD" w:rsidRDefault="003C4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23BB3"/>
    <w:rsid w:val="00053A0A"/>
    <w:rsid w:val="001241E1"/>
    <w:rsid w:val="002116C6"/>
    <w:rsid w:val="002523A0"/>
    <w:rsid w:val="00344D5B"/>
    <w:rsid w:val="003C47DD"/>
    <w:rsid w:val="003D0526"/>
    <w:rsid w:val="003F1EAA"/>
    <w:rsid w:val="00423BB3"/>
    <w:rsid w:val="00521E2D"/>
    <w:rsid w:val="0075608E"/>
    <w:rsid w:val="007F3DD9"/>
    <w:rsid w:val="0088545F"/>
    <w:rsid w:val="00940E58"/>
    <w:rsid w:val="00AC4D11"/>
    <w:rsid w:val="00B44D67"/>
    <w:rsid w:val="00BC3BCD"/>
    <w:rsid w:val="00BF7A77"/>
    <w:rsid w:val="00D01C3B"/>
    <w:rsid w:val="00D04FA3"/>
    <w:rsid w:val="00D33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342D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C37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C37D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C37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C37D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42D4"/>
    <w:rPr>
      <w:b/>
      <w:bCs/>
      <w:kern w:val="44"/>
      <w:sz w:val="44"/>
      <w:szCs w:val="44"/>
    </w:rPr>
  </w:style>
  <w:style w:type="character" w:customStyle="1" w:styleId="2Char">
    <w:name w:val="标题 2 Char"/>
    <w:basedOn w:val="a0"/>
    <w:link w:val="2"/>
    <w:uiPriority w:val="9"/>
    <w:rsid w:val="00AC37D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C37D4"/>
    <w:rPr>
      <w:b/>
      <w:bCs/>
      <w:sz w:val="32"/>
      <w:szCs w:val="32"/>
    </w:rPr>
  </w:style>
  <w:style w:type="character" w:customStyle="1" w:styleId="4Char">
    <w:name w:val="标题 4 Char"/>
    <w:basedOn w:val="a0"/>
    <w:link w:val="4"/>
    <w:uiPriority w:val="9"/>
    <w:rsid w:val="00AC37D4"/>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C37D4"/>
    <w:rPr>
      <w:b/>
      <w:bCs/>
      <w:sz w:val="28"/>
      <w:szCs w:val="28"/>
    </w:rPr>
  </w:style>
  <w:style w:type="paragraph" w:styleId="10">
    <w:name w:val="toc 1"/>
    <w:basedOn w:val="a"/>
    <w:next w:val="a"/>
    <w:autoRedefine/>
    <w:uiPriority w:val="39"/>
    <w:unhideWhenUsed/>
    <w:rsid w:val="00BF7A77"/>
  </w:style>
  <w:style w:type="paragraph" w:styleId="20">
    <w:name w:val="toc 2"/>
    <w:basedOn w:val="a"/>
    <w:next w:val="a"/>
    <w:autoRedefine/>
    <w:uiPriority w:val="39"/>
    <w:unhideWhenUsed/>
    <w:rsid w:val="00BF7A77"/>
    <w:pPr>
      <w:ind w:leftChars="200" w:left="420"/>
    </w:pPr>
  </w:style>
  <w:style w:type="character" w:styleId="a3">
    <w:name w:val="Hyperlink"/>
    <w:basedOn w:val="a0"/>
    <w:uiPriority w:val="99"/>
    <w:unhideWhenUsed/>
    <w:rsid w:val="00BF7A77"/>
    <w:rPr>
      <w:color w:val="0000FF" w:themeColor="hyperlink"/>
      <w:u w:val="single"/>
    </w:rPr>
  </w:style>
  <w:style w:type="paragraph" w:styleId="a4">
    <w:name w:val="Balloon Text"/>
    <w:basedOn w:val="a"/>
    <w:link w:val="Char"/>
    <w:uiPriority w:val="99"/>
    <w:semiHidden/>
    <w:unhideWhenUsed/>
    <w:rsid w:val="00BF7A77"/>
    <w:rPr>
      <w:sz w:val="18"/>
      <w:szCs w:val="18"/>
    </w:rPr>
  </w:style>
  <w:style w:type="character" w:customStyle="1" w:styleId="Char">
    <w:name w:val="批注框文本 Char"/>
    <w:basedOn w:val="a0"/>
    <w:link w:val="a4"/>
    <w:uiPriority w:val="99"/>
    <w:semiHidden/>
    <w:rsid w:val="00BF7A77"/>
    <w:rPr>
      <w:sz w:val="18"/>
      <w:szCs w:val="18"/>
    </w:rPr>
  </w:style>
  <w:style w:type="paragraph" w:styleId="a5">
    <w:name w:val="header"/>
    <w:basedOn w:val="a"/>
    <w:link w:val="Char0"/>
    <w:uiPriority w:val="99"/>
    <w:unhideWhenUsed/>
    <w:rsid w:val="007F3D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F3DD9"/>
    <w:rPr>
      <w:sz w:val="18"/>
      <w:szCs w:val="18"/>
    </w:rPr>
  </w:style>
  <w:style w:type="paragraph" w:styleId="a6">
    <w:name w:val="footer"/>
    <w:basedOn w:val="a"/>
    <w:link w:val="Char1"/>
    <w:uiPriority w:val="99"/>
    <w:unhideWhenUsed/>
    <w:rsid w:val="007F3DD9"/>
    <w:pPr>
      <w:tabs>
        <w:tab w:val="center" w:pos="4153"/>
        <w:tab w:val="right" w:pos="8306"/>
      </w:tabs>
      <w:snapToGrid w:val="0"/>
      <w:jc w:val="left"/>
    </w:pPr>
    <w:rPr>
      <w:sz w:val="18"/>
      <w:szCs w:val="18"/>
    </w:rPr>
  </w:style>
  <w:style w:type="character" w:customStyle="1" w:styleId="Char1">
    <w:name w:val="页脚 Char"/>
    <w:basedOn w:val="a0"/>
    <w:link w:val="a6"/>
    <w:uiPriority w:val="99"/>
    <w:rsid w:val="007F3D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73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6E8A-BD07-44D8-8533-92779716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4108</Words>
  <Characters>23422</Characters>
  <Application>Microsoft Office Word</Application>
  <DocSecurity>0</DocSecurity>
  <Lines>195</Lines>
  <Paragraphs>54</Paragraphs>
  <ScaleCrop>false</ScaleCrop>
  <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张彩婷</cp:lastModifiedBy>
  <cp:revision>15</cp:revision>
  <dcterms:created xsi:type="dcterms:W3CDTF">2023-04-28T09:45:00Z</dcterms:created>
  <dcterms:modified xsi:type="dcterms:W3CDTF">2023-05-31T08:33:00Z</dcterms:modified>
</cp:coreProperties>
</file>